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66D" w:rsidRPr="00F167E1" w:rsidRDefault="00B7166D" w:rsidP="00B7166D">
      <w:pPr>
        <w:pStyle w:val="Textoindependiente"/>
        <w:ind w:firstLine="708"/>
        <w:rPr>
          <w:rFonts w:ascii="Calibri" w:hAnsi="Calibri" w:cs="Arial"/>
          <w:b/>
          <w:color w:val="767171" w:themeColor="background2" w:themeShade="80"/>
          <w:sz w:val="26"/>
          <w:szCs w:val="27"/>
        </w:rPr>
      </w:pPr>
      <w:r w:rsidRPr="00F167E1">
        <w:rPr>
          <w:rFonts w:ascii="Calibri" w:hAnsi="Calibri"/>
          <w:b/>
          <w:color w:val="767171" w:themeColor="background2" w:themeShade="80"/>
          <w:sz w:val="26"/>
          <w:szCs w:val="27"/>
        </w:rPr>
        <w:t xml:space="preserve">León, Guanajuato, a </w:t>
      </w:r>
      <w:r>
        <w:rPr>
          <w:rFonts w:ascii="Calibri" w:hAnsi="Calibri"/>
          <w:b/>
          <w:color w:val="767171" w:themeColor="background2" w:themeShade="80"/>
          <w:sz w:val="26"/>
          <w:szCs w:val="27"/>
        </w:rPr>
        <w:t>29</w:t>
      </w:r>
      <w:r w:rsidRPr="00F167E1">
        <w:rPr>
          <w:rFonts w:ascii="Calibri" w:hAnsi="Calibri"/>
          <w:b/>
          <w:color w:val="767171" w:themeColor="background2" w:themeShade="80"/>
          <w:sz w:val="26"/>
          <w:szCs w:val="27"/>
        </w:rPr>
        <w:t xml:space="preserve"> veinti</w:t>
      </w:r>
      <w:r>
        <w:rPr>
          <w:rFonts w:ascii="Calibri" w:hAnsi="Calibri"/>
          <w:b/>
          <w:color w:val="767171" w:themeColor="background2" w:themeShade="80"/>
          <w:sz w:val="26"/>
          <w:szCs w:val="27"/>
        </w:rPr>
        <w:t>nueve</w:t>
      </w:r>
      <w:r w:rsidRPr="00F167E1">
        <w:rPr>
          <w:rFonts w:ascii="Calibri" w:hAnsi="Calibri"/>
          <w:b/>
          <w:color w:val="767171" w:themeColor="background2" w:themeShade="80"/>
          <w:sz w:val="26"/>
          <w:szCs w:val="27"/>
        </w:rPr>
        <w:t xml:space="preserve"> de noviembre del año 2018 dos mil dieciocho. . . . . .</w:t>
      </w:r>
      <w:r>
        <w:rPr>
          <w:rFonts w:ascii="Calibri" w:hAnsi="Calibri"/>
          <w:b/>
          <w:color w:val="767171" w:themeColor="background2" w:themeShade="80"/>
          <w:sz w:val="26"/>
          <w:szCs w:val="27"/>
        </w:rPr>
        <w:t xml:space="preserve"> . . . . . . . . . . . . . . . . . . . . . . . . . . . . . . . . . . . . . . . . . . . . . . . . </w:t>
      </w:r>
      <w:proofErr w:type="gramStart"/>
      <w:r>
        <w:rPr>
          <w:rFonts w:ascii="Calibri" w:hAnsi="Calibri"/>
          <w:b/>
          <w:color w:val="767171" w:themeColor="background2" w:themeShade="80"/>
          <w:sz w:val="26"/>
          <w:szCs w:val="27"/>
        </w:rPr>
        <w:t>. . . .</w:t>
      </w:r>
      <w:proofErr w:type="gramEnd"/>
      <w:r>
        <w:rPr>
          <w:rFonts w:ascii="Calibri" w:hAnsi="Calibri"/>
          <w:b/>
          <w:color w:val="767171" w:themeColor="background2" w:themeShade="80"/>
          <w:sz w:val="26"/>
          <w:szCs w:val="27"/>
        </w:rPr>
        <w:t xml:space="preserve"> . </w:t>
      </w:r>
    </w:p>
    <w:p w:rsidR="00B7166D" w:rsidRPr="00F167E1" w:rsidRDefault="00B7166D" w:rsidP="00B7166D">
      <w:pPr>
        <w:rPr>
          <w:rFonts w:ascii="Calibri" w:hAnsi="Calibri"/>
          <w:color w:val="767171" w:themeColor="background2" w:themeShade="80"/>
          <w:sz w:val="22"/>
          <w:szCs w:val="27"/>
          <w:lang w:val="es-MX"/>
        </w:rPr>
      </w:pPr>
    </w:p>
    <w:p w:rsidR="00B7166D" w:rsidRPr="00F167E1" w:rsidRDefault="00B7166D" w:rsidP="00B7166D">
      <w:pPr>
        <w:pStyle w:val="Ttulo1"/>
        <w:ind w:firstLine="708"/>
        <w:jc w:val="both"/>
        <w:rPr>
          <w:rFonts w:ascii="Calibri" w:hAnsi="Calibri" w:cs="Arial"/>
          <w:color w:val="767171" w:themeColor="background2" w:themeShade="80"/>
          <w:sz w:val="26"/>
          <w:szCs w:val="27"/>
        </w:rPr>
      </w:pPr>
      <w:r w:rsidRPr="00F167E1">
        <w:rPr>
          <w:rFonts w:ascii="Calibri" w:hAnsi="Calibri" w:cs="Arial"/>
          <w:color w:val="767171" w:themeColor="background2" w:themeShade="80"/>
          <w:sz w:val="26"/>
          <w:szCs w:val="27"/>
        </w:rPr>
        <w:t xml:space="preserve">V I S T O S </w:t>
      </w:r>
      <w:r w:rsidRPr="00F167E1">
        <w:rPr>
          <w:rFonts w:ascii="Calibri" w:hAnsi="Calibri" w:cs="Arial"/>
          <w:b w:val="0"/>
          <w:i w:val="0"/>
          <w:color w:val="767171" w:themeColor="background2" w:themeShade="80"/>
          <w:sz w:val="26"/>
          <w:szCs w:val="27"/>
        </w:rPr>
        <w:t xml:space="preserve">para dictar sentencia definitiva, los autos del proceso administrativo identificado con el número </w:t>
      </w:r>
      <w:bookmarkStart w:id="0" w:name="_GoBack"/>
      <w:r w:rsidRPr="00F167E1">
        <w:rPr>
          <w:rFonts w:ascii="Calibri" w:hAnsi="Calibri" w:cs="Arial"/>
          <w:i w:val="0"/>
          <w:color w:val="767171" w:themeColor="background2" w:themeShade="80"/>
          <w:sz w:val="26"/>
          <w:szCs w:val="27"/>
        </w:rPr>
        <w:t>0078/2doJAM/2017-JN</w:t>
      </w:r>
      <w:bookmarkEnd w:id="0"/>
      <w:r w:rsidRPr="00F167E1">
        <w:rPr>
          <w:rFonts w:ascii="Calibri" w:hAnsi="Calibri" w:cs="Arial"/>
          <w:b w:val="0"/>
          <w:i w:val="0"/>
          <w:color w:val="767171" w:themeColor="background2" w:themeShade="80"/>
          <w:sz w:val="26"/>
          <w:szCs w:val="27"/>
        </w:rPr>
        <w:t xml:space="preserve">, promovido por la ciudadana </w:t>
      </w:r>
      <w:proofErr w:type="gramStart"/>
      <w:r>
        <w:rPr>
          <w:rFonts w:ascii="Calibri" w:hAnsi="Calibri" w:cs="Arial"/>
          <w:i w:val="0"/>
          <w:color w:val="767171" w:themeColor="background2" w:themeShade="80"/>
          <w:sz w:val="26"/>
          <w:szCs w:val="27"/>
        </w:rPr>
        <w:t>(....</w:t>
      </w:r>
      <w:proofErr w:type="gramEnd"/>
      <w:r>
        <w:rPr>
          <w:rFonts w:ascii="Calibri" w:hAnsi="Calibri" w:cs="Arial"/>
          <w:i w:val="0"/>
          <w:color w:val="767171" w:themeColor="background2" w:themeShade="80"/>
          <w:sz w:val="26"/>
          <w:szCs w:val="27"/>
        </w:rPr>
        <w:t>.)</w:t>
      </w:r>
      <w:r w:rsidRPr="00F167E1">
        <w:rPr>
          <w:rFonts w:ascii="Calibri" w:hAnsi="Calibri" w:cs="Arial"/>
          <w:color w:val="767171" w:themeColor="background2" w:themeShade="80"/>
          <w:sz w:val="26"/>
          <w:szCs w:val="27"/>
        </w:rPr>
        <w:t>; y,. . . . . . . . . . . . . . . . . . . . . . . . . . . . . . . . . .</w:t>
      </w:r>
    </w:p>
    <w:p w:rsidR="00B7166D" w:rsidRPr="00F167E1" w:rsidRDefault="00B7166D" w:rsidP="00B7166D">
      <w:pPr>
        <w:pStyle w:val="Textoindependiente"/>
        <w:rPr>
          <w:rFonts w:ascii="Calibri" w:hAnsi="Calibri" w:cs="Arial"/>
          <w:color w:val="767171" w:themeColor="background2" w:themeShade="80"/>
          <w:sz w:val="22"/>
          <w:szCs w:val="27"/>
        </w:rPr>
      </w:pPr>
    </w:p>
    <w:p w:rsidR="00B7166D" w:rsidRPr="00F167E1" w:rsidRDefault="00B7166D" w:rsidP="00B7166D">
      <w:pPr>
        <w:pStyle w:val="Textoindependiente"/>
        <w:jc w:val="center"/>
        <w:rPr>
          <w:rFonts w:ascii="Calibri" w:hAnsi="Calibri" w:cs="Arial"/>
          <w:b/>
          <w:i/>
          <w:color w:val="767171" w:themeColor="background2" w:themeShade="80"/>
          <w:sz w:val="26"/>
          <w:szCs w:val="26"/>
        </w:rPr>
      </w:pPr>
      <w:r w:rsidRPr="00F167E1">
        <w:rPr>
          <w:rFonts w:ascii="Calibri" w:hAnsi="Calibri" w:cs="Arial"/>
          <w:b/>
          <w:i/>
          <w:color w:val="767171" w:themeColor="background2" w:themeShade="80"/>
          <w:sz w:val="26"/>
          <w:szCs w:val="26"/>
        </w:rPr>
        <w:t xml:space="preserve">R E S U L T A N D </w:t>
      </w:r>
      <w:proofErr w:type="gramStart"/>
      <w:r w:rsidRPr="00F167E1">
        <w:rPr>
          <w:rFonts w:ascii="Calibri" w:hAnsi="Calibri" w:cs="Arial"/>
          <w:b/>
          <w:i/>
          <w:color w:val="767171" w:themeColor="background2" w:themeShade="80"/>
          <w:sz w:val="26"/>
          <w:szCs w:val="26"/>
        </w:rPr>
        <w:t>O :</w:t>
      </w:r>
      <w:proofErr w:type="gramEnd"/>
      <w:r w:rsidRPr="00F167E1">
        <w:rPr>
          <w:rFonts w:ascii="Calibri" w:hAnsi="Calibri" w:cs="Arial"/>
          <w:b/>
          <w:i/>
          <w:color w:val="767171" w:themeColor="background2" w:themeShade="80"/>
          <w:sz w:val="26"/>
          <w:szCs w:val="27"/>
        </w:rPr>
        <w:t xml:space="preserve"> </w:t>
      </w:r>
    </w:p>
    <w:p w:rsidR="00B7166D" w:rsidRPr="009D25AA" w:rsidRDefault="00B7166D" w:rsidP="00B7166D">
      <w:pPr>
        <w:pStyle w:val="Textoindependiente"/>
        <w:rPr>
          <w:rFonts w:ascii="Calibri" w:hAnsi="Calibri" w:cs="Arial"/>
          <w:color w:val="767171" w:themeColor="background2" w:themeShade="80"/>
          <w:sz w:val="22"/>
          <w:szCs w:val="27"/>
        </w:rPr>
      </w:pPr>
    </w:p>
    <w:p w:rsidR="00B7166D" w:rsidRPr="009D25AA" w:rsidRDefault="00B7166D" w:rsidP="00B7166D">
      <w:pPr>
        <w:ind w:firstLine="708"/>
        <w:jc w:val="both"/>
        <w:rPr>
          <w:rFonts w:ascii="Calibri" w:hAnsi="Calibri"/>
          <w:color w:val="767171" w:themeColor="background2" w:themeShade="80"/>
          <w:sz w:val="26"/>
          <w:szCs w:val="27"/>
        </w:rPr>
      </w:pPr>
      <w:proofErr w:type="gramStart"/>
      <w:r w:rsidRPr="009D25AA">
        <w:rPr>
          <w:rFonts w:ascii="Calibri" w:hAnsi="Calibri" w:cs="Arial"/>
          <w:b/>
          <w:bCs/>
          <w:i/>
          <w:iCs/>
          <w:color w:val="767171" w:themeColor="background2" w:themeShade="80"/>
          <w:sz w:val="26"/>
          <w:szCs w:val="27"/>
        </w:rPr>
        <w:t>PRIMERO.-</w:t>
      </w:r>
      <w:proofErr w:type="gramEnd"/>
      <w:r w:rsidRPr="009D25AA">
        <w:rPr>
          <w:rFonts w:ascii="Calibri" w:hAnsi="Calibri" w:cs="Arial"/>
          <w:b/>
          <w:bCs/>
          <w:i/>
          <w:iCs/>
          <w:color w:val="767171" w:themeColor="background2" w:themeShade="80"/>
          <w:sz w:val="26"/>
          <w:szCs w:val="27"/>
        </w:rPr>
        <w:t xml:space="preserve"> </w:t>
      </w:r>
      <w:r w:rsidRPr="009D25AA">
        <w:rPr>
          <w:rFonts w:ascii="Calibri" w:hAnsi="Calibri"/>
          <w:color w:val="767171" w:themeColor="background2" w:themeShade="80"/>
          <w:sz w:val="26"/>
          <w:szCs w:val="26"/>
        </w:rPr>
        <w:t xml:space="preserve">Mediante escrito de demanda administrativa, presentado el día 27 veintisiete de enero del año 2017 dos mil diecisiete, en la Oficialía Común de Partes de los Juzgados Administrativos de este Municipio, la ciudadana </w:t>
      </w:r>
      <w:r>
        <w:rPr>
          <w:rFonts w:ascii="Calibri" w:hAnsi="Calibri"/>
          <w:color w:val="767171" w:themeColor="background2" w:themeShade="80"/>
          <w:sz w:val="26"/>
          <w:szCs w:val="26"/>
        </w:rPr>
        <w:t>(.....)</w:t>
      </w:r>
      <w:r w:rsidRPr="009D25AA">
        <w:rPr>
          <w:rFonts w:ascii="Calibri" w:hAnsi="Calibri"/>
          <w:color w:val="767171" w:themeColor="background2" w:themeShade="80"/>
          <w:sz w:val="26"/>
          <w:szCs w:val="26"/>
        </w:rPr>
        <w:t>, por su propio Derecho, promovió proceso administrativo</w:t>
      </w:r>
      <w:r w:rsidRPr="009D25AA">
        <w:rPr>
          <w:rFonts w:ascii="Calibri" w:hAnsi="Calibri" w:cs="Arial"/>
          <w:color w:val="767171" w:themeColor="background2" w:themeShade="80"/>
          <w:sz w:val="26"/>
          <w:szCs w:val="26"/>
        </w:rPr>
        <w:t xml:space="preserve">; del que se desprende que señaló </w:t>
      </w:r>
      <w:r w:rsidRPr="009D25AA">
        <w:rPr>
          <w:rFonts w:ascii="Calibri" w:hAnsi="Calibri"/>
          <w:color w:val="767171" w:themeColor="background2" w:themeShade="80"/>
          <w:sz w:val="26"/>
          <w:szCs w:val="26"/>
        </w:rPr>
        <w:t xml:space="preserve">como: </w:t>
      </w:r>
      <w:r w:rsidRPr="009D25AA">
        <w:rPr>
          <w:rFonts w:ascii="Calibri" w:hAnsi="Calibri" w:cs="Arial"/>
          <w:color w:val="767171" w:themeColor="background2" w:themeShade="80"/>
          <w:sz w:val="26"/>
          <w:szCs w:val="27"/>
        </w:rPr>
        <w:t>. . . . . . . . . . . . . . . . . . . . . . . . . . . . . . . . . . . . . . . . . .</w:t>
      </w:r>
    </w:p>
    <w:p w:rsidR="00B7166D" w:rsidRPr="009E1DEC" w:rsidRDefault="00B7166D" w:rsidP="00B7166D">
      <w:pPr>
        <w:jc w:val="both"/>
        <w:rPr>
          <w:rFonts w:ascii="Calibri" w:hAnsi="Calibri"/>
          <w:color w:val="AEAAAA" w:themeColor="background2" w:themeShade="BF"/>
          <w:sz w:val="22"/>
          <w:szCs w:val="27"/>
        </w:rPr>
      </w:pPr>
    </w:p>
    <w:p w:rsidR="00B7166D" w:rsidRPr="00187C4E" w:rsidRDefault="00B7166D" w:rsidP="00B7166D">
      <w:pPr>
        <w:ind w:firstLine="708"/>
        <w:jc w:val="both"/>
        <w:rPr>
          <w:rFonts w:ascii="Calibri" w:hAnsi="Calibri"/>
          <w:bCs/>
          <w:color w:val="767171" w:themeColor="background2" w:themeShade="80"/>
          <w:sz w:val="26"/>
          <w:szCs w:val="27"/>
        </w:rPr>
      </w:pPr>
      <w:r w:rsidRPr="00187C4E">
        <w:rPr>
          <w:rFonts w:ascii="Calibri" w:hAnsi="Calibri"/>
          <w:b/>
          <w:bCs/>
          <w:color w:val="767171" w:themeColor="background2" w:themeShade="80"/>
          <w:sz w:val="26"/>
          <w:szCs w:val="27"/>
        </w:rPr>
        <w:t xml:space="preserve">a).- Actos impugnados: </w:t>
      </w:r>
      <w:r w:rsidRPr="00187C4E">
        <w:rPr>
          <w:rFonts w:ascii="Calibri" w:hAnsi="Calibri"/>
          <w:bCs/>
          <w:color w:val="767171" w:themeColor="background2" w:themeShade="80"/>
          <w:sz w:val="26"/>
          <w:szCs w:val="27"/>
        </w:rPr>
        <w:t xml:space="preserve">Lo que denominó el cobro de impuesto predial correspondiente al ejercicio fiscal 2017 dos mil diecisiete y las diferencias del impuesto predial, pagado en el año 2016 dos mil dieciséis, respecto del bien inmueble ubicado en </w:t>
      </w:r>
      <w:r>
        <w:rPr>
          <w:rFonts w:ascii="Calibri" w:hAnsi="Calibri"/>
          <w:bCs/>
          <w:color w:val="767171" w:themeColor="background2" w:themeShade="80"/>
          <w:sz w:val="26"/>
          <w:szCs w:val="27"/>
        </w:rPr>
        <w:t>(.....)</w:t>
      </w:r>
      <w:r w:rsidRPr="00187C4E">
        <w:rPr>
          <w:rFonts w:ascii="Calibri" w:hAnsi="Calibri"/>
          <w:bCs/>
          <w:color w:val="767171" w:themeColor="background2" w:themeShade="80"/>
          <w:sz w:val="26"/>
          <w:szCs w:val="27"/>
        </w:rPr>
        <w:t xml:space="preserve"> de esta ciudad; así como los actos o resoluciones previos a la determinación del nuevo valor fiscal de tal inmueble, con cuenta predial número 01-A-A15406-001 (cero-uno guion A guion A-uno-cinco-cuatro-cero-seis guion cero-cero-uno). . . . . . . . . . . . . . . . . . . . . . . . . . . . . . . . . . . . . . . . . . . . </w:t>
      </w:r>
      <w:r>
        <w:rPr>
          <w:rFonts w:ascii="Calibri" w:hAnsi="Calibri"/>
          <w:bCs/>
          <w:color w:val="767171" w:themeColor="background2" w:themeShade="80"/>
          <w:sz w:val="26"/>
          <w:szCs w:val="27"/>
        </w:rPr>
        <w:t>. . . . . . . .</w:t>
      </w:r>
    </w:p>
    <w:p w:rsidR="00B7166D" w:rsidRPr="009E1DEC" w:rsidRDefault="00B7166D" w:rsidP="00B7166D">
      <w:pPr>
        <w:jc w:val="both"/>
        <w:rPr>
          <w:rFonts w:ascii="Calibri" w:hAnsi="Calibri"/>
          <w:color w:val="AEAAAA" w:themeColor="background2" w:themeShade="BF"/>
          <w:sz w:val="22"/>
          <w:szCs w:val="27"/>
        </w:rPr>
      </w:pPr>
    </w:p>
    <w:p w:rsidR="00B7166D" w:rsidRPr="009E1DEC" w:rsidRDefault="00B7166D" w:rsidP="00B7166D">
      <w:pPr>
        <w:ind w:firstLine="708"/>
        <w:jc w:val="both"/>
        <w:rPr>
          <w:rFonts w:ascii="Calibri" w:hAnsi="Calibri"/>
          <w:color w:val="AEAAAA" w:themeColor="background2" w:themeShade="BF"/>
          <w:sz w:val="26"/>
          <w:szCs w:val="27"/>
        </w:rPr>
      </w:pPr>
      <w:r w:rsidRPr="00187C4E">
        <w:rPr>
          <w:rFonts w:ascii="Calibri" w:hAnsi="Calibri"/>
          <w:b/>
          <w:bCs/>
          <w:color w:val="767171" w:themeColor="background2" w:themeShade="80"/>
          <w:sz w:val="26"/>
          <w:szCs w:val="27"/>
        </w:rPr>
        <w:t>b</w:t>
      </w:r>
      <w:proofErr w:type="gramStart"/>
      <w:r w:rsidRPr="00187C4E">
        <w:rPr>
          <w:rFonts w:ascii="Calibri" w:hAnsi="Calibri"/>
          <w:b/>
          <w:bCs/>
          <w:color w:val="767171" w:themeColor="background2" w:themeShade="80"/>
          <w:sz w:val="26"/>
          <w:szCs w:val="27"/>
        </w:rPr>
        <w:t>).-</w:t>
      </w:r>
      <w:proofErr w:type="gramEnd"/>
      <w:r w:rsidRPr="00187C4E">
        <w:rPr>
          <w:rFonts w:ascii="Calibri" w:hAnsi="Calibri"/>
          <w:b/>
          <w:bCs/>
          <w:color w:val="767171" w:themeColor="background2" w:themeShade="80"/>
          <w:sz w:val="26"/>
          <w:szCs w:val="27"/>
        </w:rPr>
        <w:t xml:space="preserve"> Autoridad demandada.- </w:t>
      </w:r>
      <w:r w:rsidRPr="00187C4E">
        <w:rPr>
          <w:rFonts w:ascii="Calibri" w:hAnsi="Calibri"/>
          <w:bCs/>
          <w:color w:val="767171" w:themeColor="background2" w:themeShade="80"/>
          <w:sz w:val="26"/>
          <w:szCs w:val="27"/>
        </w:rPr>
        <w:t>La</w:t>
      </w:r>
      <w:r w:rsidRPr="00187C4E">
        <w:rPr>
          <w:rFonts w:ascii="Calibri" w:hAnsi="Calibri"/>
          <w:b/>
          <w:bCs/>
          <w:color w:val="767171" w:themeColor="background2" w:themeShade="80"/>
          <w:sz w:val="26"/>
          <w:szCs w:val="27"/>
        </w:rPr>
        <w:t xml:space="preserve"> </w:t>
      </w:r>
      <w:r w:rsidRPr="00187C4E">
        <w:rPr>
          <w:rFonts w:ascii="Calibri" w:hAnsi="Calibri" w:cs="Arial"/>
          <w:color w:val="767171" w:themeColor="background2" w:themeShade="80"/>
          <w:sz w:val="26"/>
          <w:szCs w:val="27"/>
        </w:rPr>
        <w:t>Tesorería Municipal de León, Guanajuato. .</w:t>
      </w:r>
      <w:r>
        <w:rPr>
          <w:rFonts w:ascii="Calibri" w:hAnsi="Calibri" w:cs="Arial"/>
          <w:color w:val="AEAAAA" w:themeColor="background2" w:themeShade="BF"/>
          <w:sz w:val="26"/>
          <w:szCs w:val="27"/>
        </w:rPr>
        <w:t xml:space="preserve"> </w:t>
      </w:r>
    </w:p>
    <w:p w:rsidR="00B7166D" w:rsidRPr="009E1DEC" w:rsidRDefault="00B7166D" w:rsidP="00B7166D">
      <w:pPr>
        <w:jc w:val="both"/>
        <w:rPr>
          <w:rFonts w:ascii="Calibri" w:hAnsi="Calibri"/>
          <w:color w:val="AEAAAA" w:themeColor="background2" w:themeShade="BF"/>
          <w:sz w:val="22"/>
          <w:szCs w:val="27"/>
        </w:rPr>
      </w:pPr>
    </w:p>
    <w:p w:rsidR="00B7166D" w:rsidRPr="00187C4E" w:rsidRDefault="00B7166D" w:rsidP="00B7166D">
      <w:pPr>
        <w:ind w:firstLine="708"/>
        <w:jc w:val="both"/>
        <w:rPr>
          <w:rFonts w:ascii="Calibri" w:hAnsi="Calibri"/>
          <w:color w:val="767171" w:themeColor="background2" w:themeShade="80"/>
          <w:sz w:val="26"/>
          <w:szCs w:val="27"/>
        </w:rPr>
      </w:pPr>
      <w:proofErr w:type="gramStart"/>
      <w:r w:rsidRPr="00187C4E">
        <w:rPr>
          <w:rFonts w:ascii="Calibri" w:hAnsi="Calibri"/>
          <w:b/>
          <w:bCs/>
          <w:color w:val="767171" w:themeColor="background2" w:themeShade="80"/>
          <w:sz w:val="26"/>
          <w:szCs w:val="27"/>
        </w:rPr>
        <w:t>c).-</w:t>
      </w:r>
      <w:proofErr w:type="gramEnd"/>
      <w:r w:rsidRPr="00187C4E">
        <w:rPr>
          <w:rFonts w:ascii="Calibri" w:hAnsi="Calibri"/>
          <w:b/>
          <w:bCs/>
          <w:color w:val="767171" w:themeColor="background2" w:themeShade="80"/>
          <w:sz w:val="26"/>
          <w:szCs w:val="27"/>
        </w:rPr>
        <w:t xml:space="preserve"> Pretensiones: </w:t>
      </w:r>
      <w:r w:rsidRPr="00187C4E">
        <w:rPr>
          <w:rFonts w:ascii="Calibri" w:hAnsi="Calibri"/>
          <w:bCs/>
          <w:color w:val="767171" w:themeColor="background2" w:themeShade="80"/>
          <w:sz w:val="26"/>
          <w:szCs w:val="27"/>
        </w:rPr>
        <w:t>La</w:t>
      </w:r>
      <w:r w:rsidRPr="00187C4E">
        <w:rPr>
          <w:rFonts w:ascii="Calibri" w:hAnsi="Calibri"/>
          <w:b/>
          <w:bCs/>
          <w:color w:val="767171" w:themeColor="background2" w:themeShade="80"/>
          <w:sz w:val="26"/>
          <w:szCs w:val="27"/>
        </w:rPr>
        <w:t xml:space="preserve"> </w:t>
      </w:r>
      <w:r w:rsidRPr="00187C4E">
        <w:rPr>
          <w:rFonts w:ascii="Calibri" w:hAnsi="Calibri"/>
          <w:color w:val="767171" w:themeColor="background2" w:themeShade="80"/>
          <w:sz w:val="26"/>
          <w:szCs w:val="27"/>
        </w:rPr>
        <w:t xml:space="preserve">nulidad total de los actos impugnados; y la condena a la autoridad demandada para la devolución del importe pagado por concepto de impuesto del ejercicio fiscal del año 2017 diecisiete y diferencias del 2016 dos mil dieciséis  . . . . . . . . . . . . . . . . . . . . . . . . . . . . . . . . . . . . . . . . . . . . . . . . . . . . . . . . . . . . . </w:t>
      </w:r>
    </w:p>
    <w:p w:rsidR="00B7166D" w:rsidRDefault="00B7166D" w:rsidP="00B7166D">
      <w:pPr>
        <w:jc w:val="both"/>
        <w:rPr>
          <w:rFonts w:ascii="Calibri" w:hAnsi="Calibri" w:cs="Arial"/>
          <w:color w:val="AEAAAA" w:themeColor="background2" w:themeShade="BF"/>
          <w:sz w:val="26"/>
          <w:szCs w:val="26"/>
        </w:rPr>
      </w:pPr>
    </w:p>
    <w:p w:rsidR="00B7166D" w:rsidRPr="00187C4E" w:rsidRDefault="00B7166D" w:rsidP="00B7166D">
      <w:pPr>
        <w:ind w:firstLine="708"/>
        <w:jc w:val="both"/>
        <w:rPr>
          <w:rFonts w:ascii="Calibri" w:hAnsi="Calibri" w:cs="Arial"/>
          <w:color w:val="767171" w:themeColor="background2" w:themeShade="80"/>
          <w:sz w:val="26"/>
          <w:szCs w:val="26"/>
        </w:rPr>
      </w:pPr>
      <w:proofErr w:type="gramStart"/>
      <w:r w:rsidRPr="00187C4E">
        <w:rPr>
          <w:rFonts w:ascii="Calibri" w:hAnsi="Calibri" w:cs="Arial"/>
          <w:b/>
          <w:i/>
          <w:color w:val="767171" w:themeColor="background2" w:themeShade="80"/>
          <w:sz w:val="26"/>
          <w:szCs w:val="26"/>
        </w:rPr>
        <w:t>SEGUNDO.-</w:t>
      </w:r>
      <w:proofErr w:type="gramEnd"/>
      <w:r w:rsidRPr="00187C4E">
        <w:rPr>
          <w:rFonts w:ascii="Calibri" w:hAnsi="Calibri" w:cs="Arial"/>
          <w:color w:val="767171" w:themeColor="background2" w:themeShade="80"/>
          <w:sz w:val="26"/>
          <w:szCs w:val="26"/>
        </w:rPr>
        <w:t xml:space="preserve"> En razón de turno correspondió conocer a este Juzgado Segundo, por lo que por auto de fecha 31 treinta y uno de enero del año 2017 dos mil diecisiete, se ordenó formar el expediente respectivo y se admitió a trámite la demanda en contra de la Tesorería Municipal de León, Guanajuato. . . . . . . . . . . . . </w:t>
      </w:r>
    </w:p>
    <w:p w:rsidR="00B7166D" w:rsidRPr="00187C4E" w:rsidRDefault="00B7166D" w:rsidP="00B7166D">
      <w:pPr>
        <w:jc w:val="both"/>
        <w:rPr>
          <w:rFonts w:ascii="Calibri" w:hAnsi="Calibri"/>
          <w:color w:val="767171" w:themeColor="background2" w:themeShade="80"/>
          <w:sz w:val="22"/>
          <w:szCs w:val="27"/>
        </w:rPr>
      </w:pPr>
    </w:p>
    <w:p w:rsidR="00B7166D" w:rsidRPr="00187C4E" w:rsidRDefault="00B7166D" w:rsidP="00B7166D">
      <w:pPr>
        <w:ind w:firstLine="708"/>
        <w:jc w:val="both"/>
        <w:rPr>
          <w:rFonts w:ascii="Calibri" w:hAnsi="Calibri"/>
          <w:color w:val="767171" w:themeColor="background2" w:themeShade="80"/>
          <w:sz w:val="26"/>
          <w:szCs w:val="27"/>
        </w:rPr>
      </w:pPr>
      <w:r w:rsidRPr="00187C4E">
        <w:rPr>
          <w:rFonts w:ascii="Calibri" w:hAnsi="Calibri"/>
          <w:color w:val="767171" w:themeColor="background2" w:themeShade="80"/>
          <w:sz w:val="26"/>
          <w:szCs w:val="26"/>
        </w:rPr>
        <w:t xml:space="preserve">Asimismo, se tuvo </w:t>
      </w:r>
      <w:r w:rsidRPr="00187C4E">
        <w:rPr>
          <w:rFonts w:ascii="Calibri" w:hAnsi="Calibri"/>
          <w:color w:val="767171" w:themeColor="background2" w:themeShade="80"/>
          <w:sz w:val="26"/>
          <w:szCs w:val="27"/>
        </w:rPr>
        <w:t xml:space="preserve">a la actora por ofreciendo y admitidas como pruebas de su intención: la documental que describe en su escrito de demanda con los números 1 uno y 2 dos del capítulo de pruebas de su escrito de demanda; las que en ese momento, dada su propia naturaleza, se tuvieron por desahogadas. . . </w:t>
      </w:r>
      <w:proofErr w:type="gramStart"/>
      <w:r w:rsidRPr="00187C4E">
        <w:rPr>
          <w:rFonts w:ascii="Calibri" w:hAnsi="Calibri"/>
          <w:color w:val="767171" w:themeColor="background2" w:themeShade="80"/>
          <w:sz w:val="26"/>
          <w:szCs w:val="27"/>
        </w:rPr>
        <w:t>. . . .</w:t>
      </w:r>
      <w:proofErr w:type="gramEnd"/>
      <w:r w:rsidRPr="00187C4E">
        <w:rPr>
          <w:rFonts w:ascii="Calibri" w:hAnsi="Calibri"/>
          <w:color w:val="767171" w:themeColor="background2" w:themeShade="80"/>
          <w:sz w:val="26"/>
          <w:szCs w:val="27"/>
        </w:rPr>
        <w:t xml:space="preserve"> </w:t>
      </w:r>
    </w:p>
    <w:p w:rsidR="00B7166D" w:rsidRPr="00187C4E" w:rsidRDefault="00B7166D" w:rsidP="00B7166D">
      <w:pPr>
        <w:jc w:val="both"/>
        <w:rPr>
          <w:rFonts w:ascii="Calibri" w:hAnsi="Calibri"/>
          <w:color w:val="767171" w:themeColor="background2" w:themeShade="80"/>
          <w:sz w:val="22"/>
          <w:szCs w:val="27"/>
        </w:rPr>
      </w:pPr>
    </w:p>
    <w:p w:rsidR="00B7166D" w:rsidRPr="00187C4E" w:rsidRDefault="00B7166D" w:rsidP="00B7166D">
      <w:pPr>
        <w:pStyle w:val="Sangra3detindependiente"/>
        <w:rPr>
          <w:color w:val="767171" w:themeColor="background2" w:themeShade="80"/>
        </w:rPr>
      </w:pPr>
      <w:r w:rsidRPr="00187C4E">
        <w:rPr>
          <w:color w:val="767171" w:themeColor="background2" w:themeShade="80"/>
        </w:rPr>
        <w:lastRenderedPageBreak/>
        <w:t xml:space="preserve">Asimismo se ordenó emplazar y correr traslado a la autoridad señalada como demandada para que diera contestación a la demanda interpuesta en su contra; lo que hizo el </w:t>
      </w:r>
      <w:r w:rsidRPr="00187C4E">
        <w:rPr>
          <w:b/>
          <w:color w:val="767171" w:themeColor="background2" w:themeShade="80"/>
        </w:rPr>
        <w:t>Tesorero Municipal</w:t>
      </w:r>
      <w:r w:rsidRPr="00187C4E">
        <w:rPr>
          <w:color w:val="767171" w:themeColor="background2" w:themeShade="80"/>
        </w:rPr>
        <w:t xml:space="preserve">, Contador Público </w:t>
      </w:r>
      <w:r>
        <w:rPr>
          <w:b/>
          <w:color w:val="767171" w:themeColor="background2" w:themeShade="80"/>
        </w:rPr>
        <w:t>(.....)</w:t>
      </w:r>
      <w:r w:rsidRPr="00187C4E">
        <w:rPr>
          <w:color w:val="767171" w:themeColor="background2" w:themeShade="80"/>
        </w:rPr>
        <w:t xml:space="preserve">, mediante escrito presentado el día 17 diecisiete de febrero del año 2017 dos mil diecisiete (localizable de foja 21 veintiuno a 30 treinta); en el que dio contestación a los hechos, planteó una causal de improcedencia y dio contestación a lo que denominó como agravios. . . . . . . . . . . . . . . . . . . . . . . . . . . . . </w:t>
      </w:r>
      <w:r>
        <w:rPr>
          <w:color w:val="767171" w:themeColor="background2" w:themeShade="80"/>
        </w:rPr>
        <w:t>. . . . . . . . . . . .</w:t>
      </w:r>
    </w:p>
    <w:p w:rsidR="00B7166D" w:rsidRPr="009E1DEC" w:rsidRDefault="00B7166D" w:rsidP="00B7166D">
      <w:pPr>
        <w:pStyle w:val="Sangra3detindependiente"/>
        <w:rPr>
          <w:rFonts w:cs="Arial"/>
          <w:color w:val="AEAAAA" w:themeColor="background2" w:themeShade="BF"/>
          <w:sz w:val="22"/>
        </w:rPr>
      </w:pPr>
    </w:p>
    <w:p w:rsidR="00B7166D" w:rsidRPr="00187C4E" w:rsidRDefault="00B7166D" w:rsidP="00B7166D">
      <w:pPr>
        <w:pStyle w:val="Textoindependiente"/>
        <w:ind w:firstLine="708"/>
        <w:rPr>
          <w:rFonts w:ascii="Calibri" w:hAnsi="Calibri"/>
          <w:color w:val="767171" w:themeColor="background2" w:themeShade="80"/>
          <w:sz w:val="26"/>
          <w:szCs w:val="27"/>
        </w:rPr>
      </w:pPr>
      <w:r w:rsidRPr="00187C4E">
        <w:rPr>
          <w:rFonts w:ascii="Calibri" w:hAnsi="Calibri" w:cs="Arial"/>
          <w:b/>
          <w:bCs/>
          <w:i/>
          <w:iCs/>
          <w:color w:val="767171" w:themeColor="background2" w:themeShade="80"/>
          <w:sz w:val="26"/>
          <w:szCs w:val="27"/>
        </w:rPr>
        <w:t>TERCERO</w:t>
      </w:r>
      <w:r w:rsidRPr="00187C4E">
        <w:rPr>
          <w:rFonts w:ascii="Calibri" w:hAnsi="Calibri" w:cs="Arial"/>
          <w:b/>
          <w:bCs/>
          <w:color w:val="767171" w:themeColor="background2" w:themeShade="80"/>
          <w:sz w:val="26"/>
          <w:szCs w:val="27"/>
        </w:rPr>
        <w:t xml:space="preserve">.- </w:t>
      </w:r>
      <w:r w:rsidRPr="00187C4E">
        <w:rPr>
          <w:rFonts w:ascii="Calibri" w:hAnsi="Calibri"/>
          <w:color w:val="767171" w:themeColor="background2" w:themeShade="80"/>
          <w:sz w:val="26"/>
          <w:szCs w:val="27"/>
        </w:rPr>
        <w:t xml:space="preserve">Por acuerdo de fecha 21 veintiuno de febrero del año 2017 dos mil diecisiete, se tuvo a la autoridad demandada, por contestando en tiempo y forma legal la demanda interpuesta en su contra; teniéndole por ofrecida y admitida como prueba de su parte la documental admitida a la parte actora, así como la anexa a su escrito de contestación- consistente en la certificación de su   nombramiento, (visible a foja 31 treinta y uno)-; pruebas que se tuvieron desde ese momento por desahogadas; y, la </w:t>
      </w:r>
      <w:proofErr w:type="spellStart"/>
      <w:r w:rsidRPr="00187C4E">
        <w:rPr>
          <w:rFonts w:ascii="Calibri" w:hAnsi="Calibri"/>
          <w:color w:val="767171" w:themeColor="background2" w:themeShade="80"/>
          <w:sz w:val="26"/>
          <w:szCs w:val="27"/>
        </w:rPr>
        <w:t>presuncional</w:t>
      </w:r>
      <w:proofErr w:type="spellEnd"/>
      <w:r w:rsidRPr="00187C4E">
        <w:rPr>
          <w:rFonts w:ascii="Calibri" w:hAnsi="Calibri"/>
          <w:color w:val="767171" w:themeColor="background2" w:themeShade="80"/>
          <w:sz w:val="26"/>
          <w:szCs w:val="27"/>
        </w:rPr>
        <w:t xml:space="preserve"> en su doble aspecto, en lo que beneficie al oferente. . . . . . . . . . . . . . . . . . . . . . . . . . . . . . . . . . . . . . . . . . . . . . . . . . . . </w:t>
      </w:r>
    </w:p>
    <w:p w:rsidR="00B7166D" w:rsidRPr="009E1DEC" w:rsidRDefault="00B7166D" w:rsidP="00B7166D">
      <w:pPr>
        <w:pStyle w:val="Textoindependiente"/>
        <w:rPr>
          <w:rFonts w:ascii="Calibri" w:hAnsi="Calibri"/>
          <w:color w:val="AEAAAA" w:themeColor="background2" w:themeShade="BF"/>
          <w:sz w:val="26"/>
          <w:szCs w:val="27"/>
        </w:rPr>
      </w:pPr>
    </w:p>
    <w:p w:rsidR="00B7166D" w:rsidRPr="00F133C8" w:rsidRDefault="00B7166D" w:rsidP="00B7166D">
      <w:pPr>
        <w:pStyle w:val="Textoindependiente"/>
        <w:ind w:firstLine="708"/>
        <w:rPr>
          <w:rFonts w:ascii="Calibri" w:hAnsi="Calibri" w:cs="Arial"/>
          <w:color w:val="767171" w:themeColor="background2" w:themeShade="80"/>
          <w:sz w:val="26"/>
          <w:szCs w:val="27"/>
        </w:rPr>
      </w:pPr>
      <w:r w:rsidRPr="00F133C8">
        <w:rPr>
          <w:rFonts w:ascii="Calibri" w:hAnsi="Calibri"/>
          <w:color w:val="767171" w:themeColor="background2" w:themeShade="80"/>
          <w:sz w:val="26"/>
          <w:szCs w:val="27"/>
        </w:rPr>
        <w:t xml:space="preserve">De este modo, al no existir pruebas pendientes de desahogo y por ser el momento procesal oportuno, se citó a las partes a la </w:t>
      </w:r>
      <w:r w:rsidRPr="00F133C8">
        <w:rPr>
          <w:rFonts w:ascii="Calibri" w:hAnsi="Calibri"/>
          <w:b/>
          <w:color w:val="767171" w:themeColor="background2" w:themeShade="80"/>
          <w:sz w:val="26"/>
          <w:szCs w:val="27"/>
        </w:rPr>
        <w:t>Audiencia de Alegatos</w:t>
      </w:r>
      <w:r w:rsidRPr="00F133C8">
        <w:rPr>
          <w:rFonts w:ascii="Calibri" w:hAnsi="Calibri"/>
          <w:color w:val="767171" w:themeColor="background2" w:themeShade="80"/>
          <w:sz w:val="26"/>
          <w:szCs w:val="27"/>
        </w:rPr>
        <w:t xml:space="preserve">, a celebrarse el día </w:t>
      </w:r>
      <w:r w:rsidRPr="00F133C8">
        <w:rPr>
          <w:rFonts w:ascii="Calibri" w:hAnsi="Calibri"/>
          <w:b/>
          <w:color w:val="767171" w:themeColor="background2" w:themeShade="80"/>
          <w:sz w:val="26"/>
          <w:szCs w:val="27"/>
        </w:rPr>
        <w:t>28</w:t>
      </w:r>
      <w:r w:rsidRPr="00F133C8">
        <w:rPr>
          <w:rFonts w:ascii="Calibri" w:hAnsi="Calibri"/>
          <w:color w:val="767171" w:themeColor="background2" w:themeShade="80"/>
          <w:sz w:val="26"/>
          <w:szCs w:val="27"/>
        </w:rPr>
        <w:t xml:space="preserve"> veintiocho de </w:t>
      </w:r>
      <w:r w:rsidRPr="00F133C8">
        <w:rPr>
          <w:rFonts w:ascii="Calibri" w:hAnsi="Calibri"/>
          <w:b/>
          <w:color w:val="767171" w:themeColor="background2" w:themeShade="80"/>
          <w:sz w:val="26"/>
          <w:szCs w:val="27"/>
        </w:rPr>
        <w:t>marzo</w:t>
      </w:r>
      <w:r w:rsidRPr="00F133C8">
        <w:rPr>
          <w:rFonts w:ascii="Calibri" w:hAnsi="Calibri"/>
          <w:color w:val="767171" w:themeColor="background2" w:themeShade="80"/>
          <w:sz w:val="26"/>
          <w:szCs w:val="27"/>
        </w:rPr>
        <w:t xml:space="preserve"> del pasado año </w:t>
      </w:r>
      <w:r w:rsidRPr="00F133C8">
        <w:rPr>
          <w:rFonts w:ascii="Calibri" w:hAnsi="Calibri"/>
          <w:b/>
          <w:color w:val="767171" w:themeColor="background2" w:themeShade="80"/>
          <w:sz w:val="26"/>
          <w:szCs w:val="27"/>
        </w:rPr>
        <w:t xml:space="preserve">2017 </w:t>
      </w:r>
      <w:r w:rsidRPr="00F133C8">
        <w:rPr>
          <w:rFonts w:ascii="Calibri" w:hAnsi="Calibri"/>
          <w:color w:val="767171" w:themeColor="background2" w:themeShade="80"/>
          <w:sz w:val="26"/>
          <w:szCs w:val="27"/>
        </w:rPr>
        <w:t xml:space="preserve">dos mil diecisiete, a las </w:t>
      </w:r>
      <w:r w:rsidRPr="00F133C8">
        <w:rPr>
          <w:rFonts w:ascii="Calibri" w:hAnsi="Calibri"/>
          <w:b/>
          <w:color w:val="767171" w:themeColor="background2" w:themeShade="80"/>
          <w:sz w:val="26"/>
          <w:szCs w:val="27"/>
        </w:rPr>
        <w:t>10:00</w:t>
      </w:r>
      <w:r w:rsidRPr="00F133C8">
        <w:rPr>
          <w:rFonts w:ascii="Calibri" w:hAnsi="Calibri"/>
          <w:color w:val="767171" w:themeColor="background2" w:themeShade="80"/>
          <w:sz w:val="26"/>
          <w:szCs w:val="27"/>
        </w:rPr>
        <w:t xml:space="preserve"> diez horas, en el recinto de este Juzgado. . . . . . . . . . . . . . . . . . . . . . . . </w:t>
      </w:r>
      <w:r>
        <w:rPr>
          <w:rFonts w:ascii="Calibri" w:hAnsi="Calibri"/>
          <w:color w:val="767171" w:themeColor="background2" w:themeShade="80"/>
          <w:sz w:val="26"/>
          <w:szCs w:val="27"/>
        </w:rPr>
        <w:t xml:space="preserve">. . . </w:t>
      </w:r>
    </w:p>
    <w:p w:rsidR="00B7166D" w:rsidRPr="0071205D" w:rsidRDefault="00B7166D" w:rsidP="00B7166D">
      <w:pPr>
        <w:jc w:val="both"/>
        <w:rPr>
          <w:rFonts w:ascii="Calibri" w:hAnsi="Calibri"/>
          <w:b/>
          <w:bCs/>
          <w:i/>
          <w:iCs/>
          <w:color w:val="767171" w:themeColor="background2" w:themeShade="80"/>
          <w:sz w:val="26"/>
          <w:szCs w:val="27"/>
          <w:lang w:val="es-MX"/>
        </w:rPr>
      </w:pPr>
    </w:p>
    <w:p w:rsidR="00B7166D" w:rsidRPr="0071205D" w:rsidRDefault="00B7166D" w:rsidP="00B7166D">
      <w:pPr>
        <w:ind w:firstLine="708"/>
        <w:jc w:val="both"/>
        <w:rPr>
          <w:rFonts w:ascii="Calibri" w:hAnsi="Calibri"/>
          <w:color w:val="767171" w:themeColor="background2" w:themeShade="80"/>
          <w:sz w:val="26"/>
          <w:szCs w:val="27"/>
        </w:rPr>
      </w:pPr>
      <w:proofErr w:type="gramStart"/>
      <w:r w:rsidRPr="0071205D">
        <w:rPr>
          <w:rFonts w:ascii="Calibri" w:hAnsi="Calibri"/>
          <w:b/>
          <w:bCs/>
          <w:i/>
          <w:iCs/>
          <w:color w:val="767171" w:themeColor="background2" w:themeShade="80"/>
          <w:sz w:val="26"/>
          <w:lang w:val="es-MX"/>
        </w:rPr>
        <w:t>CUART</w:t>
      </w:r>
      <w:r w:rsidRPr="0071205D">
        <w:rPr>
          <w:rFonts w:ascii="Calibri" w:hAnsi="Calibri"/>
          <w:b/>
          <w:bCs/>
          <w:i/>
          <w:iCs/>
          <w:color w:val="767171" w:themeColor="background2" w:themeShade="80"/>
          <w:sz w:val="26"/>
        </w:rPr>
        <w:t>O.-</w:t>
      </w:r>
      <w:proofErr w:type="gramEnd"/>
      <w:r w:rsidRPr="0071205D">
        <w:rPr>
          <w:rFonts w:ascii="Calibri" w:hAnsi="Calibri"/>
          <w:color w:val="767171" w:themeColor="background2" w:themeShade="80"/>
          <w:sz w:val="26"/>
        </w:rPr>
        <w:t xml:space="preserve"> En la fecha y hora señaladas en el resultando anterior, </w:t>
      </w:r>
      <w:r w:rsidRPr="0071205D">
        <w:rPr>
          <w:rFonts w:ascii="Calibri" w:hAnsi="Calibri" w:cs="Arial"/>
          <w:color w:val="767171" w:themeColor="background2" w:themeShade="80"/>
          <w:sz w:val="26"/>
        </w:rPr>
        <w:t xml:space="preserve">se llevó a cabo la audiencia de alegatos en la que, una vez declarada abierta y sin la asistencia de las partes, se hizo constar que la parte actora, ciudadana </w:t>
      </w:r>
      <w:r>
        <w:rPr>
          <w:rFonts w:ascii="Calibri" w:hAnsi="Calibri" w:cs="Arial"/>
          <w:color w:val="767171" w:themeColor="background2" w:themeShade="80"/>
          <w:sz w:val="26"/>
        </w:rPr>
        <w:t>(.....)</w:t>
      </w:r>
      <w:r w:rsidRPr="0071205D">
        <w:rPr>
          <w:rFonts w:ascii="Calibri" w:hAnsi="Calibri" w:cs="Arial"/>
          <w:color w:val="767171" w:themeColor="background2" w:themeShade="80"/>
          <w:sz w:val="26"/>
        </w:rPr>
        <w:t xml:space="preserve"> sí formuló alegatos; los que se ordenó agregar a los autos para que surtieran los efectos legales a que hubiere lugar,  por lo que se turnaron los autos para el dictado de la sentencia que en derecho procediera</w:t>
      </w:r>
      <w:r w:rsidRPr="0071205D">
        <w:rPr>
          <w:rFonts w:ascii="Calibri" w:hAnsi="Calibri" w:cs="Arial"/>
          <w:color w:val="767171" w:themeColor="background2" w:themeShade="80"/>
          <w:sz w:val="26"/>
          <w:szCs w:val="27"/>
        </w:rPr>
        <w:t>. . .</w:t>
      </w:r>
      <w:r w:rsidRPr="0071205D">
        <w:rPr>
          <w:rFonts w:ascii="Calibri" w:hAnsi="Calibri"/>
          <w:color w:val="767171" w:themeColor="background2" w:themeShade="80"/>
          <w:sz w:val="26"/>
          <w:szCs w:val="27"/>
        </w:rPr>
        <w:t xml:space="preserve"> . . . . . . . . . </w:t>
      </w:r>
      <w:r>
        <w:rPr>
          <w:rFonts w:ascii="Calibri" w:hAnsi="Calibri"/>
          <w:color w:val="767171" w:themeColor="background2" w:themeShade="80"/>
          <w:sz w:val="26"/>
          <w:szCs w:val="27"/>
        </w:rPr>
        <w:t xml:space="preserve">. . . . . . . . </w:t>
      </w:r>
    </w:p>
    <w:p w:rsidR="00B7166D" w:rsidRPr="0071205D" w:rsidRDefault="00B7166D" w:rsidP="00B7166D">
      <w:pPr>
        <w:jc w:val="both"/>
        <w:rPr>
          <w:rFonts w:ascii="Calibri" w:hAnsi="Calibri" w:cs="Arial"/>
          <w:color w:val="767171" w:themeColor="background2" w:themeShade="80"/>
          <w:sz w:val="26"/>
          <w:szCs w:val="26"/>
        </w:rPr>
      </w:pPr>
    </w:p>
    <w:p w:rsidR="00B7166D" w:rsidRPr="0071205D" w:rsidRDefault="00B7166D" w:rsidP="00B7166D">
      <w:pPr>
        <w:pStyle w:val="Textoindependiente"/>
        <w:ind w:firstLine="708"/>
        <w:jc w:val="center"/>
        <w:rPr>
          <w:rFonts w:ascii="Calibri" w:hAnsi="Calibri" w:cs="Arial"/>
          <w:b/>
          <w:bCs/>
          <w:i/>
          <w:iCs/>
          <w:color w:val="767171" w:themeColor="background2" w:themeShade="80"/>
          <w:sz w:val="26"/>
          <w:szCs w:val="27"/>
        </w:rPr>
      </w:pPr>
      <w:r w:rsidRPr="0071205D">
        <w:rPr>
          <w:rFonts w:ascii="Calibri" w:hAnsi="Calibri" w:cs="Arial"/>
          <w:b/>
          <w:bCs/>
          <w:i/>
          <w:iCs/>
          <w:color w:val="767171" w:themeColor="background2" w:themeShade="80"/>
          <w:sz w:val="26"/>
          <w:szCs w:val="27"/>
        </w:rPr>
        <w:t xml:space="preserve">C O N S I D E R A N D </w:t>
      </w:r>
      <w:proofErr w:type="gramStart"/>
      <w:r w:rsidRPr="0071205D">
        <w:rPr>
          <w:rFonts w:ascii="Calibri" w:hAnsi="Calibri" w:cs="Arial"/>
          <w:b/>
          <w:bCs/>
          <w:i/>
          <w:iCs/>
          <w:color w:val="767171" w:themeColor="background2" w:themeShade="80"/>
          <w:sz w:val="26"/>
          <w:szCs w:val="27"/>
        </w:rPr>
        <w:t>O :</w:t>
      </w:r>
      <w:proofErr w:type="gramEnd"/>
    </w:p>
    <w:p w:rsidR="00B7166D" w:rsidRPr="0071205D" w:rsidRDefault="00B7166D" w:rsidP="00B7166D">
      <w:pPr>
        <w:pStyle w:val="Textoindependiente"/>
        <w:ind w:firstLine="708"/>
        <w:jc w:val="center"/>
        <w:rPr>
          <w:rFonts w:ascii="Calibri" w:hAnsi="Calibri" w:cs="Arial"/>
          <w:b/>
          <w:bCs/>
          <w:color w:val="767171" w:themeColor="background2" w:themeShade="80"/>
          <w:sz w:val="22"/>
          <w:szCs w:val="27"/>
        </w:rPr>
      </w:pPr>
    </w:p>
    <w:p w:rsidR="00B7166D" w:rsidRPr="0071205D" w:rsidRDefault="00B7166D" w:rsidP="00B7166D">
      <w:pPr>
        <w:pStyle w:val="Textoindependiente"/>
        <w:ind w:firstLine="708"/>
        <w:rPr>
          <w:rFonts w:ascii="Calibri" w:hAnsi="Calibri" w:cs="Arial"/>
          <w:color w:val="767171" w:themeColor="background2" w:themeShade="80"/>
          <w:sz w:val="26"/>
          <w:szCs w:val="27"/>
        </w:rPr>
      </w:pPr>
      <w:r w:rsidRPr="0071205D">
        <w:rPr>
          <w:rFonts w:ascii="Calibri" w:hAnsi="Calibri" w:cs="Arial"/>
          <w:b/>
          <w:bCs/>
          <w:i/>
          <w:iCs/>
          <w:color w:val="767171" w:themeColor="background2" w:themeShade="80"/>
          <w:sz w:val="26"/>
          <w:szCs w:val="27"/>
        </w:rPr>
        <w:t>PRIMERO</w:t>
      </w:r>
      <w:r w:rsidRPr="0071205D">
        <w:rPr>
          <w:rFonts w:ascii="Calibri" w:hAnsi="Calibri" w:cs="Arial"/>
          <w:b/>
          <w:bCs/>
          <w:color w:val="767171" w:themeColor="background2" w:themeShade="80"/>
          <w:sz w:val="26"/>
          <w:szCs w:val="27"/>
        </w:rPr>
        <w:t xml:space="preserve">.- </w:t>
      </w:r>
      <w:r w:rsidRPr="0071205D">
        <w:rPr>
          <w:rFonts w:ascii="Calibri" w:hAnsi="Calibri" w:cs="Arial"/>
          <w:color w:val="767171" w:themeColor="background2" w:themeShade="80"/>
          <w:sz w:val="26"/>
          <w:szCs w:val="27"/>
        </w:rPr>
        <w:t>Este Juzgado Segundo Administrativo Municipal es competente para</w:t>
      </w:r>
      <w:r>
        <w:rPr>
          <w:rFonts w:ascii="Calibri" w:hAnsi="Calibri" w:cs="Arial"/>
          <w:color w:val="767171" w:themeColor="background2" w:themeShade="80"/>
          <w:sz w:val="26"/>
          <w:szCs w:val="27"/>
        </w:rPr>
        <w:t xml:space="preserve"> conocer y resolver este </w:t>
      </w:r>
      <w:r w:rsidRPr="0071205D">
        <w:rPr>
          <w:rFonts w:ascii="Calibri" w:hAnsi="Calibri" w:cs="Arial"/>
          <w:color w:val="767171" w:themeColor="background2" w:themeShade="80"/>
          <w:sz w:val="26"/>
          <w:szCs w:val="27"/>
        </w:rPr>
        <w:t xml:space="preserve">proceso administrativo </w:t>
      </w:r>
      <w:r w:rsidRPr="0071205D">
        <w:rPr>
          <w:rFonts w:ascii="Calibri" w:hAnsi="Calibri" w:cs="Arial"/>
          <w:color w:val="767171" w:themeColor="background2" w:themeShade="80"/>
          <w:sz w:val="26"/>
        </w:rPr>
        <w:t xml:space="preserve">en base a lo previsto por los artículos 241, 243, párrafo segundo y 244 de la Ley Orgánica Municipal para el Estado de Guanajuato; y, </w:t>
      </w:r>
      <w:r w:rsidRPr="0071205D">
        <w:rPr>
          <w:rFonts w:ascii="Calibri" w:hAnsi="Calibri" w:cs="Arial"/>
          <w:color w:val="767171" w:themeColor="background2" w:themeShade="80"/>
          <w:sz w:val="26"/>
          <w:szCs w:val="27"/>
        </w:rPr>
        <w:t>1, fracción II; y 3, párrafo segundo, del Código de Procedimiento y Justicia Administrativa para el Estado y los Municipios de Guanajuato; toda vez que se impugnan actos emitidos y atribuidos a la Tesorería Municipal, autoridad que forma parte de la administración pública municipal de León, Guanajuato. . . . . . . . . . . . . . . . . . . . . . . . .  . . . . . . . . . . . . . . . . . . . . . . . . . . . . .</w:t>
      </w:r>
    </w:p>
    <w:p w:rsidR="00B7166D" w:rsidRPr="0071205D" w:rsidRDefault="00B7166D" w:rsidP="00B7166D">
      <w:pPr>
        <w:pStyle w:val="Textoindependiente"/>
        <w:jc w:val="right"/>
        <w:rPr>
          <w:rFonts w:ascii="Calibri" w:hAnsi="Calibri" w:cs="Arial"/>
          <w:b/>
          <w:bCs/>
          <w:color w:val="767171" w:themeColor="background2" w:themeShade="80"/>
          <w:sz w:val="26"/>
          <w:szCs w:val="27"/>
        </w:rPr>
      </w:pPr>
    </w:p>
    <w:p w:rsidR="00B7166D" w:rsidRPr="0071205D" w:rsidRDefault="00B7166D" w:rsidP="00B7166D">
      <w:pPr>
        <w:pStyle w:val="Textoindependiente"/>
        <w:ind w:firstLine="708"/>
        <w:rPr>
          <w:rFonts w:ascii="Calibri" w:hAnsi="Calibri" w:cs="Arial"/>
          <w:color w:val="767171" w:themeColor="background2" w:themeShade="80"/>
          <w:sz w:val="26"/>
          <w:szCs w:val="27"/>
        </w:rPr>
      </w:pPr>
      <w:proofErr w:type="gramStart"/>
      <w:r w:rsidRPr="0071205D">
        <w:rPr>
          <w:rFonts w:ascii="Calibri" w:hAnsi="Calibri" w:cs="Arial"/>
          <w:b/>
          <w:bCs/>
          <w:i/>
          <w:iCs/>
          <w:color w:val="767171" w:themeColor="background2" w:themeShade="80"/>
          <w:sz w:val="26"/>
          <w:szCs w:val="27"/>
        </w:rPr>
        <w:t>SEGUNDO</w:t>
      </w:r>
      <w:r w:rsidRPr="0071205D">
        <w:rPr>
          <w:rFonts w:ascii="Calibri" w:hAnsi="Calibri" w:cs="Arial"/>
          <w:b/>
          <w:bCs/>
          <w:color w:val="767171" w:themeColor="background2" w:themeShade="80"/>
          <w:sz w:val="26"/>
          <w:szCs w:val="27"/>
        </w:rPr>
        <w:t>.-</w:t>
      </w:r>
      <w:proofErr w:type="gramEnd"/>
      <w:r w:rsidRPr="0071205D">
        <w:rPr>
          <w:rFonts w:ascii="Calibri" w:hAnsi="Calibri" w:cs="Arial"/>
          <w:b/>
          <w:bCs/>
          <w:color w:val="767171" w:themeColor="background2" w:themeShade="80"/>
          <w:sz w:val="26"/>
          <w:szCs w:val="27"/>
        </w:rPr>
        <w:t xml:space="preserve"> </w:t>
      </w:r>
      <w:r w:rsidRPr="0071205D">
        <w:rPr>
          <w:rFonts w:ascii="Calibri" w:hAnsi="Calibri" w:cs="Arial"/>
          <w:color w:val="767171" w:themeColor="background2" w:themeShade="80"/>
          <w:sz w:val="26"/>
          <w:szCs w:val="27"/>
        </w:rPr>
        <w:t>El presente proceso fue promovido oportunamente, toda vez que la demanda fue presentada dentro de los 30 treinta días hábiles siguientes a aquél en que la actora manifestó tener conocimiento de los actos impugnados; lo que refirió fue el día 18 dieciocho de enero del año próximo pasado, sin que de las constancias del expediente se desprenda lo contrario</w:t>
      </w:r>
      <w:r w:rsidRPr="0071205D">
        <w:rPr>
          <w:rFonts w:ascii="Calibri" w:hAnsi="Calibri"/>
          <w:color w:val="767171" w:themeColor="background2" w:themeShade="80"/>
          <w:sz w:val="26"/>
          <w:szCs w:val="27"/>
        </w:rPr>
        <w:t>. . . . . . . . . . . . . . . .</w:t>
      </w:r>
      <w:r>
        <w:rPr>
          <w:rFonts w:ascii="Calibri" w:hAnsi="Calibri"/>
          <w:color w:val="767171" w:themeColor="background2" w:themeShade="80"/>
          <w:sz w:val="26"/>
          <w:szCs w:val="27"/>
        </w:rPr>
        <w:t xml:space="preserve"> . . . . . . . . </w:t>
      </w:r>
      <w:r w:rsidRPr="0071205D">
        <w:rPr>
          <w:rFonts w:ascii="Calibri" w:hAnsi="Calibri"/>
          <w:color w:val="767171" w:themeColor="background2" w:themeShade="80"/>
          <w:sz w:val="26"/>
          <w:szCs w:val="27"/>
        </w:rPr>
        <w:t xml:space="preserve"> </w:t>
      </w:r>
    </w:p>
    <w:p w:rsidR="00B7166D" w:rsidRPr="009E1DEC" w:rsidRDefault="00B7166D" w:rsidP="00B7166D">
      <w:pPr>
        <w:jc w:val="both"/>
        <w:rPr>
          <w:rFonts w:ascii="Calibri" w:hAnsi="Calibri"/>
          <w:b/>
          <w:i/>
          <w:iCs/>
          <w:color w:val="AEAAAA" w:themeColor="background2" w:themeShade="BF"/>
          <w:sz w:val="26"/>
          <w:szCs w:val="27"/>
          <w:lang w:val="es-MX"/>
        </w:rPr>
      </w:pPr>
    </w:p>
    <w:p w:rsidR="00B7166D" w:rsidRDefault="00B7166D" w:rsidP="00B7166D">
      <w:pPr>
        <w:ind w:firstLine="708"/>
        <w:jc w:val="both"/>
        <w:rPr>
          <w:rFonts w:ascii="Calibri" w:hAnsi="Calibri"/>
          <w:color w:val="767171" w:themeColor="background2" w:themeShade="80"/>
          <w:sz w:val="26"/>
          <w:szCs w:val="27"/>
        </w:rPr>
      </w:pPr>
      <w:r w:rsidRPr="0071205D">
        <w:rPr>
          <w:rFonts w:ascii="Calibri" w:hAnsi="Calibri"/>
          <w:b/>
          <w:i/>
          <w:iCs/>
          <w:color w:val="767171" w:themeColor="background2" w:themeShade="80"/>
          <w:sz w:val="26"/>
          <w:szCs w:val="27"/>
        </w:rPr>
        <w:t xml:space="preserve">TERCERO.- </w:t>
      </w:r>
      <w:r w:rsidRPr="0071205D">
        <w:rPr>
          <w:rFonts w:ascii="Calibri" w:hAnsi="Calibri"/>
          <w:color w:val="767171" w:themeColor="background2" w:themeShade="80"/>
          <w:sz w:val="26"/>
          <w:szCs w:val="27"/>
        </w:rPr>
        <w:t>La existencia de los actos impugnados en la presente causa administrativa, l</w:t>
      </w:r>
      <w:r w:rsidRPr="0071205D">
        <w:rPr>
          <w:rFonts w:ascii="Calibri" w:hAnsi="Calibri"/>
          <w:bCs/>
          <w:color w:val="767171" w:themeColor="background2" w:themeShade="80"/>
          <w:sz w:val="26"/>
          <w:szCs w:val="27"/>
        </w:rPr>
        <w:t xml:space="preserve">o que la impetrante denominó como el cobro de impuesto predial correspondiente al ejercicio fiscal 2017 dos mil diecisiete y las diferencias del impuesto predial, pagado en el año 2016 dos mil dieciséis, respecto del bien inmueble ubicado en </w:t>
      </w:r>
      <w:r>
        <w:rPr>
          <w:rFonts w:ascii="Calibri" w:hAnsi="Calibri"/>
          <w:bCs/>
          <w:color w:val="767171" w:themeColor="background2" w:themeShade="80"/>
          <w:sz w:val="26"/>
          <w:szCs w:val="27"/>
        </w:rPr>
        <w:t>(.....)</w:t>
      </w:r>
      <w:r w:rsidRPr="0071205D">
        <w:rPr>
          <w:rFonts w:ascii="Calibri" w:hAnsi="Calibri"/>
          <w:bCs/>
          <w:color w:val="767171" w:themeColor="background2" w:themeShade="80"/>
          <w:sz w:val="26"/>
          <w:szCs w:val="27"/>
        </w:rPr>
        <w:t xml:space="preserve"> de esta ciudad; así como los actos o resoluciones previos a la determinación del nuevo valor fiscal de tal inmueble, con cuenta predial número 01-A-A15406-001 (Cero-uno AA uno-cinco-cuatro-cero-seis-cero-cero-uno); deriva </w:t>
      </w:r>
      <w:r w:rsidRPr="0071205D">
        <w:rPr>
          <w:rFonts w:ascii="Calibri" w:hAnsi="Calibri"/>
          <w:color w:val="767171" w:themeColor="background2" w:themeShade="80"/>
          <w:sz w:val="26"/>
          <w:szCs w:val="27"/>
        </w:rPr>
        <w:t>de los recibos oficiales de pago con números AA 5387822 (AA cinco-</w:t>
      </w:r>
    </w:p>
    <w:p w:rsidR="00B7166D" w:rsidRPr="0071205D" w:rsidRDefault="00B7166D" w:rsidP="00B7166D">
      <w:pPr>
        <w:pStyle w:val="Textoindependiente"/>
        <w:ind w:firstLine="708"/>
        <w:jc w:val="right"/>
        <w:rPr>
          <w:rFonts w:ascii="Calibri" w:hAnsi="Calibri" w:cs="Arial"/>
          <w:b/>
          <w:color w:val="767171" w:themeColor="background2" w:themeShade="80"/>
          <w:sz w:val="26"/>
          <w:szCs w:val="27"/>
        </w:rPr>
      </w:pPr>
      <w:r w:rsidRPr="0071205D">
        <w:rPr>
          <w:rFonts w:ascii="Calibri" w:hAnsi="Calibri" w:cs="Arial"/>
          <w:b/>
          <w:color w:val="767171" w:themeColor="background2" w:themeShade="80"/>
          <w:sz w:val="26"/>
          <w:szCs w:val="27"/>
        </w:rPr>
        <w:t>Expediente número 0078/2do JAM/2017-JN</w:t>
      </w:r>
    </w:p>
    <w:p w:rsidR="00B7166D" w:rsidRPr="0071205D" w:rsidRDefault="00B7166D" w:rsidP="00B7166D">
      <w:pPr>
        <w:ind w:firstLine="708"/>
        <w:jc w:val="both"/>
        <w:rPr>
          <w:rFonts w:ascii="Calibri" w:hAnsi="Calibri"/>
          <w:color w:val="767171" w:themeColor="background2" w:themeShade="80"/>
          <w:sz w:val="26"/>
          <w:szCs w:val="27"/>
          <w:lang w:val="es-MX"/>
        </w:rPr>
      </w:pPr>
    </w:p>
    <w:p w:rsidR="00B7166D" w:rsidRPr="0071205D" w:rsidRDefault="00B7166D" w:rsidP="00B7166D">
      <w:pPr>
        <w:jc w:val="both"/>
        <w:rPr>
          <w:rFonts w:ascii="Calibri" w:hAnsi="Calibri"/>
          <w:color w:val="767171" w:themeColor="background2" w:themeShade="80"/>
          <w:sz w:val="26"/>
          <w:szCs w:val="27"/>
        </w:rPr>
      </w:pPr>
      <w:r w:rsidRPr="0071205D">
        <w:rPr>
          <w:rFonts w:ascii="Calibri" w:hAnsi="Calibri"/>
          <w:color w:val="767171" w:themeColor="background2" w:themeShade="80"/>
          <w:sz w:val="26"/>
          <w:szCs w:val="27"/>
        </w:rPr>
        <w:t xml:space="preserve">tres-ocho-siete-ocho-dos-dos), y AA 6305058 (AA seis-tres-cero-cinco-cero-cinco-ocho); de fechas 26 veintiséis de enero del año 2016 dos mil dieciséis y 18 dieciocho de enero </w:t>
      </w:r>
      <w:r>
        <w:rPr>
          <w:rFonts w:ascii="Calibri" w:hAnsi="Calibri"/>
          <w:color w:val="767171" w:themeColor="background2" w:themeShade="80"/>
          <w:sz w:val="26"/>
          <w:szCs w:val="27"/>
        </w:rPr>
        <w:t>del año 2017 dos mil diecisiete,</w:t>
      </w:r>
      <w:r w:rsidRPr="0071205D">
        <w:rPr>
          <w:rFonts w:ascii="Calibri" w:hAnsi="Calibri"/>
          <w:color w:val="767171" w:themeColor="background2" w:themeShade="80"/>
          <w:sz w:val="26"/>
          <w:szCs w:val="27"/>
        </w:rPr>
        <w:t xml:space="preserve"> por las can</w:t>
      </w:r>
      <w:r>
        <w:rPr>
          <w:rFonts w:ascii="Calibri" w:hAnsi="Calibri"/>
          <w:color w:val="767171" w:themeColor="background2" w:themeShade="80"/>
          <w:sz w:val="26"/>
          <w:szCs w:val="27"/>
        </w:rPr>
        <w:t>tidades señaladas en los mismos;</w:t>
      </w:r>
      <w:r w:rsidRPr="0071205D">
        <w:rPr>
          <w:rFonts w:ascii="Calibri" w:hAnsi="Calibri"/>
          <w:color w:val="767171" w:themeColor="background2" w:themeShade="80"/>
          <w:sz w:val="26"/>
          <w:szCs w:val="27"/>
        </w:rPr>
        <w:t xml:space="preserve"> en las que se señaló que el monto del impuesto predial del año 2016 dos mil dieciséis, era por la cantidad de $3,001.08 (Tres mil un pesos 08/100 Moneda Nacional); y el valor del inmueble propiedad de la actora, era por la cantidad de $1’282,516.14 (Un millón doscientos ochenta y dos mil quinientos dieciséis pesos 14/100 Moneda Nacional); y que en el año 2017 dos mil diecisiete, el valor del inmueble e</w:t>
      </w:r>
      <w:r>
        <w:rPr>
          <w:rFonts w:ascii="Calibri" w:hAnsi="Calibri"/>
          <w:color w:val="767171" w:themeColor="background2" w:themeShade="80"/>
          <w:sz w:val="26"/>
          <w:szCs w:val="27"/>
        </w:rPr>
        <w:t>ra</w:t>
      </w:r>
      <w:r w:rsidRPr="0071205D">
        <w:rPr>
          <w:rFonts w:ascii="Calibri" w:hAnsi="Calibri"/>
          <w:color w:val="767171" w:themeColor="background2" w:themeShade="80"/>
          <w:sz w:val="26"/>
          <w:szCs w:val="27"/>
        </w:rPr>
        <w:t xml:space="preserve"> de $9’328,506.80 (Nueve millones trescientos veintiocho mil  quinientos seis pesos 80/100 Moneda Nacional), y la cuota anual del impuesto, la cantidad de $226.00 (Doscientos veintiséis pesos 00/100 Moneda Nacional); de lo que se desprende que se incrementó el valor fiscal y el monto del impuesto predial a pagar por el inmueble propiedad de la parte actora, en el año 2017 dos mil diecisiete</w:t>
      </w:r>
      <w:r>
        <w:rPr>
          <w:rFonts w:ascii="Calibri" w:hAnsi="Calibri"/>
          <w:color w:val="767171" w:themeColor="background2" w:themeShade="80"/>
          <w:sz w:val="26"/>
          <w:szCs w:val="27"/>
        </w:rPr>
        <w:t>, pues aunque se señaló esa cuota anual, el cobro del impuesto de ese año ascendió a $13,276.06 (Trece mil doscientos setenta y seis pesos 06/100 Moneda Nacional), como se desprende del mismo recibo</w:t>
      </w:r>
      <w:r w:rsidRPr="0071205D">
        <w:rPr>
          <w:rFonts w:ascii="Calibri" w:hAnsi="Calibri"/>
          <w:color w:val="767171" w:themeColor="background2" w:themeShade="80"/>
          <w:sz w:val="26"/>
          <w:szCs w:val="27"/>
        </w:rPr>
        <w:t xml:space="preserve">; documentos que, aportados por la actora en copias certificadas, visibles a fojas 13 trece y 14 catorce; fueron admitidos como pruebas a las partes  y que merecen pleno valor probatorio, </w:t>
      </w:r>
      <w:r w:rsidRPr="0071205D">
        <w:rPr>
          <w:rFonts w:ascii="Calibri" w:hAnsi="Calibri" w:cs="Arial"/>
          <w:color w:val="767171" w:themeColor="background2" w:themeShade="80"/>
          <w:sz w:val="26"/>
          <w:szCs w:val="27"/>
        </w:rPr>
        <w:t xml:space="preserve">conforme a lo dispuesto en los artículos </w:t>
      </w:r>
      <w:r w:rsidRPr="0071205D">
        <w:rPr>
          <w:rFonts w:ascii="Calibri" w:hAnsi="Calibri"/>
          <w:color w:val="767171" w:themeColor="background2" w:themeShade="80"/>
          <w:sz w:val="26"/>
          <w:szCs w:val="27"/>
        </w:rPr>
        <w:t>78, 117, 121, 123 y 131 del Código de Procedimiento y Justicia Administrativa para el Estado y los Municipios de Guanajuato; toda vez que se trata de documentos públicos emitidos por la Tesorería Municipal, aunada la circunstancia de que, al contestar la d</w:t>
      </w:r>
      <w:r>
        <w:rPr>
          <w:rFonts w:ascii="Calibri" w:hAnsi="Calibri"/>
          <w:color w:val="767171" w:themeColor="background2" w:themeShade="80"/>
          <w:sz w:val="26"/>
          <w:szCs w:val="27"/>
        </w:rPr>
        <w:t>emanda en relación a los hechos; la enjuiciada aceptó</w:t>
      </w:r>
      <w:r w:rsidRPr="0071205D">
        <w:rPr>
          <w:rFonts w:ascii="Calibri" w:hAnsi="Calibri"/>
          <w:color w:val="767171" w:themeColor="background2" w:themeShade="80"/>
          <w:sz w:val="26"/>
          <w:szCs w:val="27"/>
        </w:rPr>
        <w:t xml:space="preserve"> expresamente los valores fiscales del inmueble en los años 2016 dos mil dieciséis y 20</w:t>
      </w:r>
      <w:r>
        <w:rPr>
          <w:rFonts w:ascii="Calibri" w:hAnsi="Calibri"/>
          <w:color w:val="767171" w:themeColor="background2" w:themeShade="80"/>
          <w:sz w:val="26"/>
          <w:szCs w:val="27"/>
        </w:rPr>
        <w:t>17 dos mil diecisiete</w:t>
      </w:r>
      <w:r w:rsidRPr="0071205D">
        <w:rPr>
          <w:rFonts w:ascii="Calibri" w:hAnsi="Calibri"/>
          <w:color w:val="767171" w:themeColor="background2" w:themeShade="80"/>
          <w:sz w:val="26"/>
          <w:szCs w:val="27"/>
        </w:rPr>
        <w:t xml:space="preserve"> y los pagos del impuesto predial por esos años, referidos por su contraria</w:t>
      </w:r>
      <w:r w:rsidRPr="0071205D">
        <w:rPr>
          <w:rFonts w:ascii="Calibri" w:hAnsi="Calibri"/>
          <w:color w:val="767171" w:themeColor="background2" w:themeShade="80"/>
          <w:sz w:val="26"/>
          <w:szCs w:val="26"/>
        </w:rPr>
        <w:t>. . . . . . . . . . . . . .</w:t>
      </w:r>
      <w:r>
        <w:rPr>
          <w:rFonts w:ascii="Calibri" w:hAnsi="Calibri"/>
          <w:color w:val="767171" w:themeColor="background2" w:themeShade="80"/>
          <w:sz w:val="26"/>
          <w:szCs w:val="26"/>
        </w:rPr>
        <w:t xml:space="preserve"> . . . </w:t>
      </w:r>
    </w:p>
    <w:p w:rsidR="00B7166D" w:rsidRDefault="00B7166D" w:rsidP="00B7166D">
      <w:pPr>
        <w:jc w:val="both"/>
        <w:rPr>
          <w:rFonts w:ascii="Calibri" w:hAnsi="Calibri"/>
          <w:color w:val="AEAAAA" w:themeColor="background2" w:themeShade="BF"/>
          <w:sz w:val="26"/>
          <w:szCs w:val="26"/>
        </w:rPr>
      </w:pPr>
    </w:p>
    <w:p w:rsidR="00B7166D" w:rsidRPr="000164B9" w:rsidRDefault="00B7166D" w:rsidP="00B7166D">
      <w:pPr>
        <w:ind w:firstLine="708"/>
        <w:jc w:val="both"/>
        <w:rPr>
          <w:rFonts w:ascii="Calibri" w:hAnsi="Calibri"/>
          <w:bCs/>
          <w:color w:val="767171" w:themeColor="background2" w:themeShade="80"/>
          <w:sz w:val="26"/>
          <w:szCs w:val="27"/>
        </w:rPr>
      </w:pPr>
      <w:r w:rsidRPr="000164B9">
        <w:rPr>
          <w:rFonts w:ascii="Calibri" w:hAnsi="Calibri"/>
          <w:color w:val="767171" w:themeColor="background2" w:themeShade="80"/>
          <w:sz w:val="26"/>
          <w:szCs w:val="26"/>
        </w:rPr>
        <w:t xml:space="preserve">Así también, se acredita que hubo una modificación al valor fiscal, con el avalúo con número de folio 13025137 (uno-tres-cero-dos-cinco-uno-tres-siete), de fecha 12 doce de febrero del 2013 dos mil trece, elaborado por el Arquitecto </w:t>
      </w:r>
      <w:proofErr w:type="gramStart"/>
      <w:r>
        <w:rPr>
          <w:rFonts w:ascii="Calibri" w:hAnsi="Calibri"/>
          <w:color w:val="767171" w:themeColor="background2" w:themeShade="80"/>
          <w:sz w:val="26"/>
          <w:szCs w:val="26"/>
        </w:rPr>
        <w:t>(....</w:t>
      </w:r>
      <w:proofErr w:type="gramEnd"/>
      <w:r>
        <w:rPr>
          <w:rFonts w:ascii="Calibri" w:hAnsi="Calibri"/>
          <w:color w:val="767171" w:themeColor="background2" w:themeShade="80"/>
          <w:sz w:val="26"/>
          <w:szCs w:val="26"/>
        </w:rPr>
        <w:t>.)</w:t>
      </w:r>
      <w:r w:rsidRPr="000164B9">
        <w:rPr>
          <w:rFonts w:ascii="Calibri" w:hAnsi="Calibri"/>
          <w:color w:val="767171" w:themeColor="background2" w:themeShade="80"/>
          <w:sz w:val="26"/>
          <w:szCs w:val="26"/>
        </w:rPr>
        <w:t xml:space="preserve">, en el que se fijó como valor del inmueble la cantidad de $9’328,506.80 (Nueve millones trescientos veintiocho mil quinientos seis pesos 80/100 Moneda Nacional). Visible en el expediente en original a foja 32 treinta y dos del expediente y al que también se le otorga pleno valor probatorio de conformidad con lo señalado en </w:t>
      </w:r>
      <w:r w:rsidRPr="000164B9">
        <w:rPr>
          <w:rFonts w:ascii="Calibri" w:hAnsi="Calibri" w:cs="Arial"/>
          <w:color w:val="767171" w:themeColor="background2" w:themeShade="80"/>
          <w:sz w:val="26"/>
          <w:szCs w:val="27"/>
        </w:rPr>
        <w:t xml:space="preserve">los artículos </w:t>
      </w:r>
      <w:r w:rsidRPr="000164B9">
        <w:rPr>
          <w:rFonts w:ascii="Calibri" w:hAnsi="Calibri"/>
          <w:color w:val="767171" w:themeColor="background2" w:themeShade="80"/>
          <w:sz w:val="26"/>
          <w:szCs w:val="27"/>
        </w:rPr>
        <w:t>78, 117, 121, 123 y 131 del Código de Procedimiento y Justicia Administrativa para el Estado y los Municipios de Guanajuato</w:t>
      </w:r>
      <w:r w:rsidRPr="000164B9">
        <w:rPr>
          <w:rFonts w:ascii="Calibri" w:hAnsi="Calibri"/>
          <w:bCs/>
          <w:color w:val="767171" w:themeColor="background2" w:themeShade="80"/>
          <w:sz w:val="26"/>
          <w:szCs w:val="27"/>
        </w:rPr>
        <w:t xml:space="preserve">. . . . . . . . . . . . . . . . . . . . . . . . . . . . . . . . . . . . . . . . . . . . . . . </w:t>
      </w:r>
      <w:r>
        <w:rPr>
          <w:rFonts w:ascii="Calibri" w:hAnsi="Calibri"/>
          <w:bCs/>
          <w:color w:val="767171" w:themeColor="background2" w:themeShade="80"/>
          <w:sz w:val="26"/>
          <w:szCs w:val="27"/>
        </w:rPr>
        <w:t>. . . . . . . . . . . . .</w:t>
      </w:r>
    </w:p>
    <w:p w:rsidR="00B7166D" w:rsidRPr="009E1DEC" w:rsidRDefault="00B7166D" w:rsidP="00B7166D">
      <w:pPr>
        <w:jc w:val="both"/>
        <w:rPr>
          <w:rFonts w:ascii="Calibri" w:hAnsi="Calibri"/>
          <w:color w:val="AEAAAA" w:themeColor="background2" w:themeShade="BF"/>
          <w:sz w:val="26"/>
          <w:szCs w:val="26"/>
        </w:rPr>
      </w:pPr>
    </w:p>
    <w:p w:rsidR="00B7166D" w:rsidRPr="00DF3300" w:rsidRDefault="00B7166D" w:rsidP="00B7166D">
      <w:pPr>
        <w:ind w:firstLine="708"/>
        <w:jc w:val="both"/>
        <w:rPr>
          <w:rFonts w:ascii="Calibri" w:hAnsi="Calibri" w:cs="Calibri"/>
          <w:color w:val="767171" w:themeColor="background2" w:themeShade="80"/>
          <w:sz w:val="26"/>
          <w:szCs w:val="26"/>
        </w:rPr>
      </w:pPr>
      <w:r w:rsidRPr="00DF3300">
        <w:rPr>
          <w:rFonts w:ascii="Calibri" w:hAnsi="Calibri"/>
          <w:color w:val="767171" w:themeColor="background2" w:themeShade="80"/>
          <w:sz w:val="26"/>
          <w:szCs w:val="27"/>
        </w:rPr>
        <w:t xml:space="preserve">En razón de lo anterior, se tiene por debidamente acreditada la existencia de los actos impugnados. . . . . . . . . . . . . . . . . . . . . . . . . . . . . . . . . . . . . . . . . . . . . </w:t>
      </w:r>
      <w:proofErr w:type="gramStart"/>
      <w:r w:rsidRPr="00DF3300">
        <w:rPr>
          <w:rFonts w:ascii="Calibri" w:hAnsi="Calibri"/>
          <w:color w:val="767171" w:themeColor="background2" w:themeShade="80"/>
          <w:sz w:val="26"/>
          <w:szCs w:val="27"/>
        </w:rPr>
        <w:t>. . . .</w:t>
      </w:r>
      <w:proofErr w:type="gramEnd"/>
    </w:p>
    <w:p w:rsidR="00B7166D" w:rsidRPr="00DF3300" w:rsidRDefault="00B7166D" w:rsidP="00B7166D">
      <w:pPr>
        <w:ind w:firstLine="708"/>
        <w:jc w:val="both"/>
        <w:rPr>
          <w:rFonts w:ascii="Calibri" w:hAnsi="Calibri"/>
          <w:color w:val="767171" w:themeColor="background2" w:themeShade="80"/>
          <w:sz w:val="26"/>
          <w:szCs w:val="27"/>
        </w:rPr>
      </w:pPr>
      <w:r w:rsidRPr="00DF3300">
        <w:rPr>
          <w:rFonts w:ascii="Calibri" w:hAnsi="Calibri"/>
          <w:color w:val="767171" w:themeColor="background2" w:themeShade="80"/>
          <w:sz w:val="26"/>
          <w:szCs w:val="26"/>
        </w:rPr>
        <w:t xml:space="preserve">  </w:t>
      </w:r>
    </w:p>
    <w:p w:rsidR="00B7166D" w:rsidRPr="00DF3300" w:rsidRDefault="00B7166D" w:rsidP="00B7166D">
      <w:pPr>
        <w:ind w:firstLine="708"/>
        <w:jc w:val="both"/>
        <w:rPr>
          <w:rFonts w:ascii="Calibri" w:hAnsi="Calibri"/>
          <w:bCs/>
          <w:iCs/>
          <w:color w:val="767171" w:themeColor="background2" w:themeShade="80"/>
          <w:sz w:val="26"/>
          <w:szCs w:val="26"/>
        </w:rPr>
      </w:pPr>
      <w:proofErr w:type="gramStart"/>
      <w:r w:rsidRPr="00DF3300">
        <w:rPr>
          <w:rFonts w:ascii="Calibri" w:hAnsi="Calibri"/>
          <w:b/>
          <w:bCs/>
          <w:i/>
          <w:iCs/>
          <w:color w:val="767171" w:themeColor="background2" w:themeShade="80"/>
          <w:sz w:val="26"/>
          <w:szCs w:val="27"/>
        </w:rPr>
        <w:t>CUARTO.-</w:t>
      </w:r>
      <w:proofErr w:type="gramEnd"/>
      <w:r w:rsidRPr="00DF3300">
        <w:rPr>
          <w:rFonts w:ascii="Calibri" w:hAnsi="Calibri"/>
          <w:b/>
          <w:bCs/>
          <w:i/>
          <w:iCs/>
          <w:color w:val="767171" w:themeColor="background2" w:themeShade="80"/>
          <w:sz w:val="26"/>
          <w:szCs w:val="27"/>
        </w:rPr>
        <w:t xml:space="preserve"> </w:t>
      </w:r>
      <w:r w:rsidRPr="00DF3300">
        <w:rPr>
          <w:rFonts w:ascii="Calibri" w:hAnsi="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B7166D" w:rsidRPr="009E1DEC" w:rsidRDefault="00B7166D" w:rsidP="00B7166D">
      <w:pPr>
        <w:ind w:firstLine="708"/>
        <w:jc w:val="both"/>
        <w:rPr>
          <w:rFonts w:ascii="Calibri" w:hAnsi="Calibri"/>
          <w:bCs/>
          <w:iCs/>
          <w:color w:val="AEAAAA" w:themeColor="background2" w:themeShade="BF"/>
          <w:sz w:val="26"/>
          <w:szCs w:val="26"/>
        </w:rPr>
      </w:pPr>
    </w:p>
    <w:p w:rsidR="00B7166D" w:rsidRPr="00DF3300" w:rsidRDefault="00B7166D" w:rsidP="00B7166D">
      <w:pPr>
        <w:ind w:firstLine="708"/>
        <w:jc w:val="both"/>
        <w:rPr>
          <w:rFonts w:ascii="Calibri" w:hAnsi="Calibri"/>
          <w:color w:val="767171" w:themeColor="background2" w:themeShade="80"/>
          <w:sz w:val="26"/>
        </w:rPr>
      </w:pPr>
      <w:r>
        <w:rPr>
          <w:rFonts w:ascii="Calibri" w:hAnsi="Calibri"/>
          <w:color w:val="767171" w:themeColor="background2" w:themeShade="80"/>
          <w:sz w:val="26"/>
        </w:rPr>
        <w:t xml:space="preserve">En la especie, en esta </w:t>
      </w:r>
      <w:r w:rsidRPr="00DF3300">
        <w:rPr>
          <w:rFonts w:ascii="Calibri" w:hAnsi="Calibri"/>
          <w:color w:val="767171" w:themeColor="background2" w:themeShade="80"/>
          <w:sz w:val="26"/>
        </w:rPr>
        <w:t xml:space="preserve">causa administrativa, la autoridad señalada como demandada </w:t>
      </w:r>
      <w:r w:rsidRPr="00DF3300">
        <w:rPr>
          <w:rFonts w:ascii="Calibri" w:hAnsi="Calibri"/>
          <w:b/>
          <w:color w:val="767171" w:themeColor="background2" w:themeShade="80"/>
          <w:sz w:val="26"/>
        </w:rPr>
        <w:t>planteó</w:t>
      </w:r>
      <w:r w:rsidRPr="00DF3300">
        <w:rPr>
          <w:rFonts w:ascii="Calibri" w:hAnsi="Calibri"/>
          <w:color w:val="767171" w:themeColor="background2" w:themeShade="80"/>
          <w:sz w:val="26"/>
        </w:rPr>
        <w:t xml:space="preserve"> como causal de improcedencia, la prevista en la fracción I del artículo 261 del código de la materia, al referir que no se afectan los intereses jurídicos de la actora, ya que adujo que actuó de manera legal, aplicando la ley adecuadamente. . </w:t>
      </w:r>
      <w:r w:rsidRPr="00DF3300">
        <w:rPr>
          <w:rFonts w:ascii="Calibri" w:hAnsi="Calibri"/>
          <w:bCs/>
          <w:color w:val="767171" w:themeColor="background2" w:themeShade="80"/>
          <w:sz w:val="26"/>
          <w:szCs w:val="27"/>
        </w:rPr>
        <w:t>. . .</w:t>
      </w:r>
      <w:r>
        <w:rPr>
          <w:rFonts w:ascii="Calibri" w:hAnsi="Calibri"/>
          <w:bCs/>
          <w:color w:val="767171" w:themeColor="background2" w:themeShade="80"/>
          <w:sz w:val="26"/>
          <w:szCs w:val="27"/>
        </w:rPr>
        <w:t xml:space="preserve"> . . . . . . . . . . . . </w:t>
      </w:r>
      <w:r w:rsidRPr="00DF3300">
        <w:rPr>
          <w:rFonts w:ascii="Calibri" w:hAnsi="Calibri"/>
          <w:bCs/>
          <w:color w:val="767171" w:themeColor="background2" w:themeShade="80"/>
          <w:sz w:val="26"/>
          <w:szCs w:val="27"/>
        </w:rPr>
        <w:t xml:space="preserve">. . . . . . . . . . . . . . . . . . . . . . . . . . . . . . . . . . </w:t>
      </w:r>
      <w:proofErr w:type="gramStart"/>
      <w:r w:rsidRPr="00DF3300">
        <w:rPr>
          <w:rFonts w:ascii="Calibri" w:hAnsi="Calibri"/>
          <w:bCs/>
          <w:color w:val="767171" w:themeColor="background2" w:themeShade="80"/>
          <w:sz w:val="26"/>
          <w:szCs w:val="27"/>
        </w:rPr>
        <w:t>. . . .</w:t>
      </w:r>
      <w:proofErr w:type="gramEnd"/>
      <w:r w:rsidRPr="00DF3300">
        <w:rPr>
          <w:rFonts w:ascii="Calibri" w:hAnsi="Calibri"/>
          <w:bCs/>
          <w:color w:val="767171" w:themeColor="background2" w:themeShade="80"/>
          <w:sz w:val="26"/>
          <w:szCs w:val="27"/>
        </w:rPr>
        <w:t xml:space="preserve"> .</w:t>
      </w:r>
    </w:p>
    <w:p w:rsidR="00B7166D" w:rsidRDefault="00B7166D" w:rsidP="00B7166D">
      <w:pPr>
        <w:ind w:firstLine="708"/>
        <w:jc w:val="both"/>
        <w:rPr>
          <w:rFonts w:ascii="Calibri" w:hAnsi="Calibri"/>
          <w:color w:val="AEAAAA" w:themeColor="background2" w:themeShade="BF"/>
          <w:sz w:val="26"/>
        </w:rPr>
      </w:pPr>
    </w:p>
    <w:p w:rsidR="00B7166D" w:rsidRPr="00DF3300" w:rsidRDefault="00B7166D" w:rsidP="00B7166D">
      <w:pPr>
        <w:ind w:firstLine="708"/>
        <w:jc w:val="both"/>
        <w:rPr>
          <w:rFonts w:ascii="Calibri" w:hAnsi="Calibri"/>
          <w:color w:val="767171" w:themeColor="background2" w:themeShade="80"/>
          <w:sz w:val="26"/>
        </w:rPr>
      </w:pPr>
      <w:r w:rsidRPr="00DF3300">
        <w:rPr>
          <w:rFonts w:ascii="Calibri" w:hAnsi="Calibri"/>
          <w:color w:val="767171" w:themeColor="background2" w:themeShade="80"/>
          <w:sz w:val="26"/>
        </w:rPr>
        <w:t xml:space="preserve">Causal de improcedencia que </w:t>
      </w:r>
      <w:r w:rsidRPr="00DF3300">
        <w:rPr>
          <w:rFonts w:ascii="Calibri" w:hAnsi="Calibri"/>
          <w:b/>
          <w:color w:val="767171" w:themeColor="background2" w:themeShade="80"/>
          <w:sz w:val="26"/>
        </w:rPr>
        <w:t>no se actualiza</w:t>
      </w:r>
      <w:r w:rsidRPr="00DF3300">
        <w:rPr>
          <w:rFonts w:ascii="Calibri" w:hAnsi="Calibri"/>
          <w:color w:val="767171" w:themeColor="background2" w:themeShade="80"/>
          <w:sz w:val="26"/>
        </w:rPr>
        <w:t xml:space="preserve">, pues es evidente que sí se afectan los intereses jurídicos de la parte actora en el asunto que nos ocupa; ya que del año 2016 dos mil dieciséis al año 2017 dos mil diecisiete se incrementó el valor fiscal  del inmueble, lo que denota la existencia de un avalúo; y por lo tanto se incrementó el monto del impuesto a pagar; de ahí que no se actualice la causal de improcedencia impugnada. . . . . . . . . . . . . . . . . . . . . . . . . . </w:t>
      </w:r>
      <w:r>
        <w:rPr>
          <w:rFonts w:ascii="Calibri" w:hAnsi="Calibri"/>
          <w:color w:val="767171" w:themeColor="background2" w:themeShade="80"/>
          <w:sz w:val="26"/>
        </w:rPr>
        <w:t xml:space="preserve">. . . . . . . . . . . . . . . . . . </w:t>
      </w:r>
    </w:p>
    <w:p w:rsidR="00B7166D" w:rsidRDefault="00B7166D" w:rsidP="00B7166D">
      <w:pPr>
        <w:ind w:firstLine="708"/>
        <w:jc w:val="both"/>
        <w:rPr>
          <w:rFonts w:ascii="Calibri" w:hAnsi="Calibri"/>
          <w:color w:val="AEAAAA" w:themeColor="background2" w:themeShade="BF"/>
          <w:sz w:val="26"/>
        </w:rPr>
      </w:pPr>
    </w:p>
    <w:p w:rsidR="00B7166D" w:rsidRPr="0011715B" w:rsidRDefault="00B7166D" w:rsidP="00B7166D">
      <w:pPr>
        <w:ind w:firstLine="708"/>
        <w:jc w:val="both"/>
        <w:rPr>
          <w:rFonts w:ascii="Calibri" w:hAnsi="Calibri"/>
          <w:color w:val="767171" w:themeColor="background2" w:themeShade="80"/>
          <w:sz w:val="26"/>
          <w:szCs w:val="27"/>
        </w:rPr>
      </w:pPr>
      <w:r w:rsidRPr="0011715B">
        <w:rPr>
          <w:rFonts w:ascii="Calibri" w:hAnsi="Calibri"/>
          <w:color w:val="767171" w:themeColor="background2" w:themeShade="80"/>
          <w:sz w:val="26"/>
        </w:rPr>
        <w:t xml:space="preserve">Por otra parte, de oficio, </w:t>
      </w:r>
      <w:r w:rsidRPr="0011715B">
        <w:rPr>
          <w:rFonts w:ascii="Calibri" w:hAnsi="Calibri"/>
          <w:color w:val="767171" w:themeColor="background2" w:themeShade="80"/>
          <w:sz w:val="26"/>
          <w:szCs w:val="27"/>
        </w:rPr>
        <w:t xml:space="preserve">este Juzgador </w:t>
      </w:r>
      <w:r w:rsidRPr="0011715B">
        <w:rPr>
          <w:rFonts w:ascii="Calibri" w:hAnsi="Calibri"/>
          <w:b/>
          <w:color w:val="767171" w:themeColor="background2" w:themeShade="80"/>
          <w:sz w:val="26"/>
          <w:szCs w:val="27"/>
        </w:rPr>
        <w:t>no advierte</w:t>
      </w:r>
      <w:r w:rsidRPr="0011715B">
        <w:rPr>
          <w:rFonts w:ascii="Calibri" w:hAnsi="Calibri"/>
          <w:color w:val="767171" w:themeColor="background2" w:themeShade="80"/>
          <w:sz w:val="26"/>
          <w:szCs w:val="27"/>
        </w:rPr>
        <w:t xml:space="preserve"> la actualización de alguna </w:t>
      </w:r>
      <w:r>
        <w:rPr>
          <w:rFonts w:ascii="Calibri" w:hAnsi="Calibri"/>
          <w:color w:val="767171" w:themeColor="background2" w:themeShade="80"/>
          <w:sz w:val="26"/>
          <w:szCs w:val="27"/>
        </w:rPr>
        <w:t xml:space="preserve">otra causal </w:t>
      </w:r>
      <w:r w:rsidRPr="0011715B">
        <w:rPr>
          <w:rFonts w:ascii="Calibri" w:hAnsi="Calibri"/>
          <w:color w:val="767171" w:themeColor="background2" w:themeShade="80"/>
          <w:sz w:val="26"/>
          <w:szCs w:val="27"/>
        </w:rPr>
        <w:t>que impida el estudio de fondo de esta causa administrativa;</w:t>
      </w:r>
      <w:r w:rsidRPr="0011715B">
        <w:rPr>
          <w:rFonts w:ascii="Calibri" w:hAnsi="Calibri" w:cs="Calibri"/>
          <w:bCs/>
          <w:iCs/>
          <w:color w:val="767171" w:themeColor="background2" w:themeShade="80"/>
          <w:sz w:val="26"/>
          <w:szCs w:val="26"/>
        </w:rPr>
        <w:t xml:space="preserve"> por lo que en consecuencia es procedente el presente proceso respecto de los actos administrativos impugnados</w:t>
      </w:r>
      <w:r w:rsidRPr="0011715B">
        <w:rPr>
          <w:rFonts w:ascii="Calibri" w:hAnsi="Calibri"/>
          <w:color w:val="767171" w:themeColor="background2" w:themeShade="80"/>
          <w:sz w:val="26"/>
          <w:szCs w:val="27"/>
        </w:rPr>
        <w:t>. . . . . . . . . . . . . . . . . . . . . . . . . . . . .</w:t>
      </w:r>
      <w:r>
        <w:rPr>
          <w:rFonts w:ascii="Calibri" w:hAnsi="Calibri"/>
          <w:color w:val="767171" w:themeColor="background2" w:themeShade="80"/>
          <w:sz w:val="26"/>
          <w:szCs w:val="27"/>
        </w:rPr>
        <w:t xml:space="preserve"> . . . . . . . </w:t>
      </w:r>
      <w:proofErr w:type="gramStart"/>
      <w:r>
        <w:rPr>
          <w:rFonts w:ascii="Calibri" w:hAnsi="Calibri"/>
          <w:color w:val="767171" w:themeColor="background2" w:themeShade="80"/>
          <w:sz w:val="26"/>
          <w:szCs w:val="27"/>
        </w:rPr>
        <w:t>. . . .</w:t>
      </w:r>
      <w:proofErr w:type="gramEnd"/>
      <w:r>
        <w:rPr>
          <w:rFonts w:ascii="Calibri" w:hAnsi="Calibri"/>
          <w:color w:val="767171" w:themeColor="background2" w:themeShade="80"/>
          <w:sz w:val="26"/>
          <w:szCs w:val="27"/>
        </w:rPr>
        <w:t xml:space="preserve"> . </w:t>
      </w:r>
    </w:p>
    <w:p w:rsidR="00B7166D" w:rsidRPr="0011715B" w:rsidRDefault="00B7166D" w:rsidP="00B7166D">
      <w:pPr>
        <w:ind w:firstLine="708"/>
        <w:jc w:val="both"/>
        <w:rPr>
          <w:rFonts w:ascii="Calibri" w:hAnsi="Calibri" w:cs="Calibri"/>
          <w:color w:val="767171" w:themeColor="background2" w:themeShade="80"/>
          <w:sz w:val="26"/>
          <w:szCs w:val="26"/>
        </w:rPr>
      </w:pPr>
    </w:p>
    <w:p w:rsidR="00B7166D" w:rsidRPr="0011715B" w:rsidRDefault="00B7166D" w:rsidP="00B7166D">
      <w:pPr>
        <w:ind w:firstLine="708"/>
        <w:jc w:val="both"/>
        <w:rPr>
          <w:rFonts w:ascii="Calibri" w:hAnsi="Calibri" w:cs="Calibri"/>
          <w:b/>
          <w:bCs/>
          <w:i/>
          <w:iCs/>
          <w:color w:val="767171" w:themeColor="background2" w:themeShade="80"/>
          <w:sz w:val="26"/>
          <w:szCs w:val="26"/>
        </w:rPr>
      </w:pPr>
      <w:proofErr w:type="gramStart"/>
      <w:r w:rsidRPr="0011715B">
        <w:rPr>
          <w:rFonts w:ascii="Calibri" w:hAnsi="Calibri" w:cs="Calibri"/>
          <w:b/>
          <w:bCs/>
          <w:i/>
          <w:iCs/>
          <w:color w:val="767171" w:themeColor="background2" w:themeShade="80"/>
          <w:sz w:val="26"/>
          <w:szCs w:val="26"/>
        </w:rPr>
        <w:t>QUINTO.-</w:t>
      </w:r>
      <w:proofErr w:type="gramEnd"/>
      <w:r w:rsidRPr="0011715B">
        <w:rPr>
          <w:rFonts w:ascii="Calibri" w:hAnsi="Calibri" w:cs="Calibri"/>
          <w:color w:val="767171" w:themeColor="background2" w:themeShade="80"/>
          <w:sz w:val="26"/>
          <w:szCs w:val="26"/>
        </w:rPr>
        <w:t xml:space="preserve"> </w:t>
      </w:r>
      <w:r w:rsidRPr="0011715B">
        <w:rPr>
          <w:rFonts w:ascii="Calibri" w:hAnsi="Calibri" w:cs="Calibri"/>
          <w:bCs/>
          <w:iCs/>
          <w:color w:val="767171" w:themeColor="background2" w:themeShade="80"/>
          <w:sz w:val="26"/>
          <w:szCs w:val="26"/>
        </w:rPr>
        <w:t>Previamente al análisis del planteamiento de fondo formulado por la actora, es</w:t>
      </w:r>
      <w:r w:rsidRPr="0011715B">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B7166D" w:rsidRPr="0011715B" w:rsidRDefault="00B7166D" w:rsidP="00B7166D">
      <w:pPr>
        <w:jc w:val="both"/>
        <w:rPr>
          <w:rFonts w:ascii="Calibri" w:hAnsi="Calibri"/>
          <w:color w:val="767171" w:themeColor="background2" w:themeShade="80"/>
          <w:sz w:val="22"/>
          <w:szCs w:val="27"/>
        </w:rPr>
      </w:pPr>
    </w:p>
    <w:p w:rsidR="00B7166D" w:rsidRPr="0011715B" w:rsidRDefault="00B7166D" w:rsidP="00B7166D">
      <w:pPr>
        <w:ind w:firstLine="708"/>
        <w:jc w:val="both"/>
        <w:rPr>
          <w:rFonts w:ascii="Calibri" w:hAnsi="Calibri"/>
          <w:bCs/>
          <w:color w:val="767171" w:themeColor="background2" w:themeShade="80"/>
          <w:sz w:val="26"/>
          <w:szCs w:val="27"/>
        </w:rPr>
      </w:pPr>
      <w:r w:rsidRPr="0011715B">
        <w:rPr>
          <w:rFonts w:ascii="Calibri" w:hAnsi="Calibri"/>
          <w:color w:val="767171" w:themeColor="background2" w:themeShade="80"/>
          <w:sz w:val="26"/>
        </w:rPr>
        <w:t xml:space="preserve">De lo expuesto en el escrito de demanda, así como de las constancias que integran esta causa administrativa, se desprende que la ciudadana </w:t>
      </w:r>
      <w:r>
        <w:rPr>
          <w:rFonts w:ascii="Calibri" w:hAnsi="Calibri"/>
          <w:color w:val="767171" w:themeColor="background2" w:themeShade="80"/>
          <w:sz w:val="26"/>
          <w:szCs w:val="26"/>
        </w:rPr>
        <w:t>(.....)</w:t>
      </w:r>
      <w:r w:rsidRPr="0011715B">
        <w:rPr>
          <w:rFonts w:ascii="Calibri" w:hAnsi="Calibri"/>
          <w:color w:val="767171" w:themeColor="background2" w:themeShade="80"/>
          <w:sz w:val="26"/>
          <w:szCs w:val="26"/>
        </w:rPr>
        <w:t xml:space="preserve"> </w:t>
      </w:r>
      <w:r w:rsidRPr="0011715B">
        <w:rPr>
          <w:rFonts w:ascii="Calibri" w:hAnsi="Calibri"/>
          <w:color w:val="767171" w:themeColor="background2" w:themeShade="80"/>
          <w:sz w:val="26"/>
        </w:rPr>
        <w:t xml:space="preserve">es propietaria del inmueble ubicado en la </w:t>
      </w:r>
      <w:r>
        <w:rPr>
          <w:rFonts w:ascii="Calibri" w:hAnsi="Calibri"/>
          <w:color w:val="767171" w:themeColor="background2" w:themeShade="80"/>
          <w:sz w:val="26"/>
        </w:rPr>
        <w:t>(.....)</w:t>
      </w:r>
      <w:r w:rsidRPr="0011715B">
        <w:rPr>
          <w:rFonts w:ascii="Calibri" w:hAnsi="Calibri"/>
          <w:color w:val="767171" w:themeColor="background2" w:themeShade="80"/>
          <w:sz w:val="26"/>
        </w:rPr>
        <w:t xml:space="preserve"> de esta ciudad; identificado con la cuenta predial número</w:t>
      </w:r>
      <w:r w:rsidRPr="0011715B">
        <w:rPr>
          <w:rFonts w:ascii="Calibri" w:hAnsi="Calibri"/>
          <w:bCs/>
          <w:color w:val="767171" w:themeColor="background2" w:themeShade="80"/>
          <w:sz w:val="26"/>
          <w:szCs w:val="27"/>
        </w:rPr>
        <w:t xml:space="preserve"> 01-A-A15406-001  (cero-uno AA uno-cinco-cuatro-cero-seis </w:t>
      </w:r>
      <w:proofErr w:type="spellStart"/>
      <w:r w:rsidRPr="0011715B">
        <w:rPr>
          <w:rFonts w:ascii="Calibri" w:hAnsi="Calibri"/>
          <w:bCs/>
          <w:color w:val="767171" w:themeColor="background2" w:themeShade="80"/>
          <w:sz w:val="26"/>
          <w:szCs w:val="27"/>
        </w:rPr>
        <w:t>guión</w:t>
      </w:r>
      <w:proofErr w:type="spellEnd"/>
      <w:r w:rsidRPr="0011715B">
        <w:rPr>
          <w:rFonts w:ascii="Calibri" w:hAnsi="Calibri"/>
          <w:bCs/>
          <w:color w:val="767171" w:themeColor="background2" w:themeShade="80"/>
          <w:sz w:val="26"/>
          <w:szCs w:val="27"/>
        </w:rPr>
        <w:t xml:space="preserve"> cero-cero-uno)</w:t>
      </w:r>
      <w:r w:rsidRPr="0011715B">
        <w:rPr>
          <w:rFonts w:ascii="Calibri" w:hAnsi="Calibri"/>
          <w:color w:val="767171" w:themeColor="background2" w:themeShade="80"/>
          <w:sz w:val="26"/>
        </w:rPr>
        <w:t xml:space="preserve"> y que, respecto de dicho inmueble, para efectos del pago del impuesto predial del año 2016 dos mil dieciséis, tenía un valor asignado de $1’282,516.14 (Un millón doscientos ochenta y dos mil quinientos dieciséis pesos 14/100 Moneda Nacional); según consta en el recibo oficial de pago de fecha 26 veintiséis de enero del año 2016 dos mil dieciséis. . . . . . . . . . . . . . . . . . </w:t>
      </w:r>
    </w:p>
    <w:p w:rsidR="00B7166D" w:rsidRPr="0011715B" w:rsidRDefault="00B7166D" w:rsidP="00B7166D">
      <w:pPr>
        <w:pStyle w:val="Sangra2detindependiente"/>
        <w:rPr>
          <w:rFonts w:ascii="Calibri" w:hAnsi="Calibri"/>
          <w:color w:val="767171" w:themeColor="background2" w:themeShade="80"/>
          <w:sz w:val="26"/>
        </w:rPr>
      </w:pPr>
    </w:p>
    <w:p w:rsidR="00B7166D" w:rsidRPr="0011715B" w:rsidRDefault="00B7166D" w:rsidP="00B7166D">
      <w:pPr>
        <w:ind w:firstLine="708"/>
        <w:jc w:val="both"/>
        <w:rPr>
          <w:rFonts w:ascii="Calibri" w:hAnsi="Calibri"/>
          <w:color w:val="767171" w:themeColor="background2" w:themeShade="80"/>
          <w:sz w:val="26"/>
        </w:rPr>
      </w:pPr>
      <w:r w:rsidRPr="0011715B">
        <w:rPr>
          <w:rFonts w:ascii="Calibri" w:hAnsi="Calibri"/>
          <w:color w:val="767171" w:themeColor="background2" w:themeShade="80"/>
          <w:sz w:val="26"/>
        </w:rPr>
        <w:t>Así las cosas, según refirió la actora, con fecha 18 dieciocho de enero de este año 2017 dos mil diecisiete, también realizó el pago correspondiente al ejercicio fiscal de ese año, en el que se incrementó el valor del inmueble a la cantidad de $9’</w:t>
      </w:r>
      <w:proofErr w:type="gramStart"/>
      <w:r w:rsidRPr="0011715B">
        <w:rPr>
          <w:rFonts w:ascii="Calibri" w:hAnsi="Calibri"/>
          <w:color w:val="767171" w:themeColor="background2" w:themeShade="80"/>
          <w:sz w:val="26"/>
        </w:rPr>
        <w:t>328,506.80  (</w:t>
      </w:r>
      <w:proofErr w:type="gramEnd"/>
      <w:r w:rsidRPr="0011715B">
        <w:rPr>
          <w:rFonts w:ascii="Calibri" w:hAnsi="Calibri"/>
          <w:color w:val="767171" w:themeColor="background2" w:themeShade="80"/>
          <w:sz w:val="26"/>
        </w:rPr>
        <w:t xml:space="preserve">Nueve millones trescientos veintiocho mil quinientos seis pesos 80/100 Moneda Nacional). . . . . . </w:t>
      </w:r>
      <w:r w:rsidRPr="0011715B">
        <w:rPr>
          <w:rFonts w:ascii="Calibri" w:hAnsi="Calibri" w:cs="Arial"/>
          <w:color w:val="767171" w:themeColor="background2" w:themeShade="80"/>
          <w:sz w:val="26"/>
          <w:szCs w:val="26"/>
        </w:rPr>
        <w:t>. . . . . . . . . . . . . . . . . . . . . . . .</w:t>
      </w:r>
      <w:r>
        <w:rPr>
          <w:rFonts w:ascii="Calibri" w:hAnsi="Calibri" w:cs="Arial"/>
          <w:color w:val="767171" w:themeColor="background2" w:themeShade="80"/>
          <w:sz w:val="26"/>
          <w:szCs w:val="26"/>
        </w:rPr>
        <w:t xml:space="preserve"> . . . . . . . . </w:t>
      </w:r>
    </w:p>
    <w:p w:rsidR="00B7166D" w:rsidRPr="0011715B" w:rsidRDefault="00B7166D" w:rsidP="00B7166D">
      <w:pPr>
        <w:pStyle w:val="Sangra2detindependiente"/>
        <w:rPr>
          <w:rFonts w:ascii="Calibri" w:hAnsi="Calibri"/>
          <w:color w:val="767171" w:themeColor="background2" w:themeShade="80"/>
          <w:sz w:val="26"/>
        </w:rPr>
      </w:pPr>
    </w:p>
    <w:p w:rsidR="00B7166D" w:rsidRPr="0011715B" w:rsidRDefault="00B7166D" w:rsidP="00B7166D">
      <w:pPr>
        <w:pStyle w:val="Sangra2detindependiente"/>
        <w:rPr>
          <w:rFonts w:ascii="Calibri" w:hAnsi="Calibri"/>
          <w:color w:val="767171" w:themeColor="background2" w:themeShade="80"/>
          <w:sz w:val="26"/>
        </w:rPr>
      </w:pPr>
      <w:r w:rsidRPr="0011715B">
        <w:rPr>
          <w:rFonts w:ascii="Calibri" w:hAnsi="Calibri"/>
          <w:color w:val="767171" w:themeColor="background2" w:themeShade="80"/>
          <w:sz w:val="26"/>
        </w:rPr>
        <w:t>Avalúo y determinación de impuesto predial que la justiciable considera le causan agravio porque no se emitió</w:t>
      </w:r>
      <w:r>
        <w:rPr>
          <w:rFonts w:ascii="Calibri" w:hAnsi="Calibri"/>
          <w:color w:val="767171" w:themeColor="background2" w:themeShade="80"/>
          <w:sz w:val="26"/>
        </w:rPr>
        <w:t>,</w:t>
      </w:r>
      <w:r w:rsidRPr="0011715B">
        <w:rPr>
          <w:rFonts w:ascii="Calibri" w:hAnsi="Calibri"/>
          <w:color w:val="767171" w:themeColor="background2" w:themeShade="80"/>
          <w:sz w:val="26"/>
        </w:rPr>
        <w:t xml:space="preserve"> ni notificó debidamente la orden de avalúo</w:t>
      </w:r>
      <w:proofErr w:type="gramStart"/>
      <w:r w:rsidRPr="0011715B">
        <w:rPr>
          <w:rFonts w:ascii="Calibri" w:hAnsi="Calibri"/>
          <w:color w:val="767171" w:themeColor="background2" w:themeShade="80"/>
          <w:sz w:val="26"/>
        </w:rPr>
        <w:t xml:space="preserve">. </w:t>
      </w:r>
      <w:r>
        <w:rPr>
          <w:rFonts w:ascii="Calibri" w:hAnsi="Calibri"/>
          <w:color w:val="767171" w:themeColor="background2" w:themeShade="80"/>
          <w:sz w:val="26"/>
        </w:rPr>
        <w:t>.</w:t>
      </w:r>
      <w:proofErr w:type="gramEnd"/>
      <w:r>
        <w:rPr>
          <w:rFonts w:ascii="Calibri" w:hAnsi="Calibri"/>
          <w:color w:val="767171" w:themeColor="background2" w:themeShade="80"/>
          <w:sz w:val="26"/>
        </w:rPr>
        <w:t xml:space="preserve"> </w:t>
      </w:r>
      <w:r w:rsidRPr="0011715B">
        <w:rPr>
          <w:rFonts w:ascii="Calibri" w:hAnsi="Calibri"/>
          <w:color w:val="767171" w:themeColor="background2" w:themeShade="80"/>
          <w:sz w:val="26"/>
        </w:rPr>
        <w:t xml:space="preserve"> </w:t>
      </w:r>
    </w:p>
    <w:p w:rsidR="00B7166D" w:rsidRDefault="00B7166D" w:rsidP="00B7166D">
      <w:pPr>
        <w:pStyle w:val="Sangra2detindependiente"/>
        <w:rPr>
          <w:rFonts w:ascii="Calibri" w:hAnsi="Calibri"/>
          <w:color w:val="AEAAAA" w:themeColor="background2" w:themeShade="BF"/>
          <w:sz w:val="26"/>
        </w:rPr>
      </w:pPr>
    </w:p>
    <w:p w:rsidR="00B7166D" w:rsidRPr="0011715B" w:rsidRDefault="00B7166D" w:rsidP="00B7166D">
      <w:pPr>
        <w:pStyle w:val="Textoindependiente"/>
        <w:ind w:firstLine="708"/>
        <w:jc w:val="right"/>
        <w:rPr>
          <w:rFonts w:ascii="Calibri" w:hAnsi="Calibri" w:cs="Arial"/>
          <w:b/>
          <w:color w:val="767171" w:themeColor="background2" w:themeShade="80"/>
          <w:sz w:val="26"/>
          <w:szCs w:val="27"/>
        </w:rPr>
      </w:pPr>
      <w:r w:rsidRPr="0011715B">
        <w:rPr>
          <w:rFonts w:ascii="Calibri" w:hAnsi="Calibri" w:cs="Arial"/>
          <w:b/>
          <w:color w:val="767171" w:themeColor="background2" w:themeShade="80"/>
          <w:sz w:val="26"/>
          <w:szCs w:val="27"/>
        </w:rPr>
        <w:t>Expediente número 0078/2do JAM/2017-JN</w:t>
      </w:r>
    </w:p>
    <w:p w:rsidR="00B7166D" w:rsidRPr="0011715B" w:rsidRDefault="00B7166D" w:rsidP="00B7166D">
      <w:pPr>
        <w:pStyle w:val="Sangra2detindependiente"/>
        <w:rPr>
          <w:rFonts w:ascii="Calibri" w:hAnsi="Calibri"/>
          <w:color w:val="767171" w:themeColor="background2" w:themeShade="80"/>
          <w:sz w:val="26"/>
        </w:rPr>
      </w:pPr>
    </w:p>
    <w:p w:rsidR="00B7166D" w:rsidRPr="0011715B" w:rsidRDefault="00B7166D" w:rsidP="00B7166D">
      <w:pPr>
        <w:pStyle w:val="Sangra2detindependiente"/>
        <w:rPr>
          <w:rFonts w:ascii="Calibri" w:hAnsi="Calibri"/>
          <w:color w:val="767171" w:themeColor="background2" w:themeShade="80"/>
          <w:sz w:val="26"/>
        </w:rPr>
      </w:pPr>
      <w:r w:rsidRPr="0011715B">
        <w:rPr>
          <w:rFonts w:ascii="Calibri" w:hAnsi="Calibri"/>
          <w:color w:val="767171" w:themeColor="background2" w:themeShade="80"/>
          <w:sz w:val="26"/>
        </w:rPr>
        <w:tab/>
        <w:t xml:space="preserve">A lo expresado por la </w:t>
      </w:r>
      <w:proofErr w:type="spellStart"/>
      <w:r w:rsidRPr="0011715B">
        <w:rPr>
          <w:rFonts w:ascii="Calibri" w:hAnsi="Calibri"/>
          <w:color w:val="767171" w:themeColor="background2" w:themeShade="80"/>
          <w:sz w:val="26"/>
        </w:rPr>
        <w:t>enjuiciante</w:t>
      </w:r>
      <w:proofErr w:type="spellEnd"/>
      <w:r w:rsidRPr="0011715B">
        <w:rPr>
          <w:rFonts w:ascii="Calibri" w:hAnsi="Calibri"/>
          <w:color w:val="767171" w:themeColor="background2" w:themeShade="80"/>
          <w:sz w:val="26"/>
        </w:rPr>
        <w:t xml:space="preserve">, la autoridad demandada, argumentó en lo general que es improcedente lo reclamado por la actora, porque los actos impugnados se encuentran debidamente fundados y motivados, sosteniendo la legalidad del cobro del impuesto predial correspondiente al año 2017 dos mil diecisiete, los impuestos omitidos del 2016 dos mil dieciséis, y los recargos respecto de los mismos. . . . . . . . . . . . . . . . . . . . . . . . . . . . . . . . . . . . . . . . . . . . . </w:t>
      </w:r>
      <w:proofErr w:type="gramStart"/>
      <w:r w:rsidRPr="0011715B">
        <w:rPr>
          <w:rFonts w:ascii="Calibri" w:hAnsi="Calibri"/>
          <w:color w:val="767171" w:themeColor="background2" w:themeShade="80"/>
          <w:sz w:val="26"/>
        </w:rPr>
        <w:t>. . . .</w:t>
      </w:r>
      <w:proofErr w:type="gramEnd"/>
      <w:r w:rsidRPr="0011715B">
        <w:rPr>
          <w:rFonts w:ascii="Calibri" w:hAnsi="Calibri"/>
          <w:color w:val="767171" w:themeColor="background2" w:themeShade="80"/>
          <w:sz w:val="26"/>
        </w:rPr>
        <w:t xml:space="preserve"> </w:t>
      </w:r>
    </w:p>
    <w:p w:rsidR="00B7166D" w:rsidRPr="000A3178" w:rsidRDefault="00B7166D" w:rsidP="00B7166D">
      <w:pPr>
        <w:jc w:val="both"/>
        <w:rPr>
          <w:rFonts w:ascii="Calibri" w:hAnsi="Calibri" w:cs="Calibri"/>
          <w:color w:val="767171" w:themeColor="background2" w:themeShade="80"/>
          <w:sz w:val="26"/>
          <w:szCs w:val="26"/>
          <w:lang w:val="es-MX"/>
        </w:rPr>
      </w:pPr>
    </w:p>
    <w:p w:rsidR="00B7166D" w:rsidRPr="00DF20DA" w:rsidRDefault="00B7166D" w:rsidP="00B7166D">
      <w:pPr>
        <w:ind w:firstLine="708"/>
        <w:jc w:val="both"/>
        <w:rPr>
          <w:rFonts w:ascii="Calibri" w:hAnsi="Calibri" w:cs="Calibri"/>
          <w:color w:val="767171" w:themeColor="background2" w:themeShade="80"/>
          <w:sz w:val="26"/>
          <w:szCs w:val="26"/>
        </w:rPr>
      </w:pPr>
      <w:r w:rsidRPr="000A3178">
        <w:rPr>
          <w:rFonts w:ascii="Calibri" w:hAnsi="Calibri" w:cs="Calibri"/>
          <w:color w:val="767171" w:themeColor="background2" w:themeShade="80"/>
          <w:sz w:val="26"/>
          <w:szCs w:val="26"/>
        </w:rPr>
        <w:t xml:space="preserve">Así las cosas, la </w:t>
      </w:r>
      <w:r w:rsidRPr="006E4F2B">
        <w:rPr>
          <w:rFonts w:ascii="Calibri" w:hAnsi="Calibri" w:cs="Calibri"/>
          <w:i/>
          <w:color w:val="767171" w:themeColor="background2" w:themeShade="80"/>
          <w:sz w:val="26"/>
          <w:szCs w:val="26"/>
        </w:rPr>
        <w:t>“</w:t>
      </w:r>
      <w:proofErr w:type="spellStart"/>
      <w:r w:rsidRPr="006E4F2B">
        <w:rPr>
          <w:rFonts w:ascii="Calibri" w:hAnsi="Calibri" w:cs="Calibri"/>
          <w:i/>
          <w:color w:val="767171" w:themeColor="background2" w:themeShade="80"/>
          <w:sz w:val="26"/>
          <w:szCs w:val="26"/>
        </w:rPr>
        <w:t>litis</w:t>
      </w:r>
      <w:proofErr w:type="spellEnd"/>
      <w:r w:rsidRPr="006E4F2B">
        <w:rPr>
          <w:rFonts w:ascii="Calibri" w:hAnsi="Calibri" w:cs="Calibri"/>
          <w:i/>
          <w:color w:val="767171" w:themeColor="background2" w:themeShade="80"/>
          <w:sz w:val="26"/>
          <w:szCs w:val="26"/>
        </w:rPr>
        <w:t>”</w:t>
      </w:r>
      <w:r w:rsidRPr="000A3178">
        <w:rPr>
          <w:rFonts w:ascii="Calibri" w:hAnsi="Calibri" w:cs="Calibri"/>
          <w:color w:val="767171" w:themeColor="background2" w:themeShade="80"/>
          <w:sz w:val="26"/>
          <w:szCs w:val="26"/>
        </w:rPr>
        <w:t xml:space="preserve"> planteada se hace consistir en determinar la legalidad o ilegalidad de los actos controvertidos en el presente proceso, que se traducen </w:t>
      </w:r>
      <w:r w:rsidRPr="00DF20DA">
        <w:rPr>
          <w:rFonts w:ascii="Calibri" w:hAnsi="Calibri" w:cs="Calibri"/>
          <w:color w:val="767171" w:themeColor="background2" w:themeShade="80"/>
          <w:sz w:val="26"/>
          <w:szCs w:val="26"/>
        </w:rPr>
        <w:t xml:space="preserve">en </w:t>
      </w:r>
      <w:r w:rsidRPr="00DF20DA">
        <w:rPr>
          <w:rFonts w:ascii="Calibri" w:hAnsi="Calibri"/>
          <w:bCs/>
          <w:color w:val="767171" w:themeColor="background2" w:themeShade="80"/>
          <w:sz w:val="26"/>
          <w:szCs w:val="27"/>
        </w:rPr>
        <w:t>el cobro de impuesto predial correspondiente al ejercicio fiscal 2017 dos mil diecisiete y las diferencias del impuesto predial, pagado en el año 2016 dos mil dieciséis, respecto del bien inmueb</w:t>
      </w:r>
      <w:r>
        <w:rPr>
          <w:rFonts w:ascii="Calibri" w:hAnsi="Calibri"/>
          <w:bCs/>
          <w:color w:val="767171" w:themeColor="background2" w:themeShade="80"/>
          <w:sz w:val="26"/>
          <w:szCs w:val="27"/>
        </w:rPr>
        <w:t>le ubicado en (.....)</w:t>
      </w:r>
      <w:r w:rsidRPr="00DF20DA">
        <w:rPr>
          <w:rFonts w:ascii="Calibri" w:hAnsi="Calibri"/>
          <w:bCs/>
          <w:color w:val="767171" w:themeColor="background2" w:themeShade="80"/>
          <w:sz w:val="26"/>
          <w:szCs w:val="27"/>
        </w:rPr>
        <w:t xml:space="preserve"> de esta ciudad; así como los actos o resoluciones previos a la determinación del nuevo valor fiscal de tal inmueble, con cuenta predial número 01-A-A15406-001 (cero-uno AA uno-cinco-cuatro-cero-seis </w:t>
      </w:r>
      <w:proofErr w:type="spellStart"/>
      <w:r w:rsidRPr="00DF20DA">
        <w:rPr>
          <w:rFonts w:ascii="Calibri" w:hAnsi="Calibri"/>
          <w:bCs/>
          <w:color w:val="767171" w:themeColor="background2" w:themeShade="80"/>
          <w:sz w:val="26"/>
          <w:szCs w:val="27"/>
        </w:rPr>
        <w:t>guión</w:t>
      </w:r>
      <w:proofErr w:type="spellEnd"/>
      <w:r w:rsidRPr="00DF20DA">
        <w:rPr>
          <w:rFonts w:ascii="Calibri" w:hAnsi="Calibri"/>
          <w:bCs/>
          <w:color w:val="767171" w:themeColor="background2" w:themeShade="80"/>
          <w:sz w:val="26"/>
          <w:szCs w:val="27"/>
        </w:rPr>
        <w:t xml:space="preserve"> cero-cero-uno). . . . . . . . . . . . . . . . . . . . . . . . . . . . . . . . . . . . . . . . . . .</w:t>
      </w:r>
    </w:p>
    <w:p w:rsidR="00B7166D" w:rsidRPr="009E1DEC" w:rsidRDefault="00B7166D" w:rsidP="00B7166D">
      <w:pPr>
        <w:pStyle w:val="Sangra2detindependiente"/>
        <w:rPr>
          <w:rFonts w:ascii="Calibri" w:hAnsi="Calibri"/>
          <w:color w:val="AEAAAA" w:themeColor="background2" w:themeShade="BF"/>
          <w:sz w:val="26"/>
        </w:rPr>
      </w:pPr>
      <w:r w:rsidRPr="009E1DEC">
        <w:rPr>
          <w:rFonts w:ascii="Calibri" w:hAnsi="Calibri" w:cs="Calibri"/>
          <w:color w:val="AEAAAA" w:themeColor="background2" w:themeShade="BF"/>
          <w:sz w:val="26"/>
          <w:szCs w:val="26"/>
        </w:rPr>
        <w:t xml:space="preserve">                                                                                                                                                                                                                                                                                                                                                                                                                                                                                                        </w:t>
      </w:r>
    </w:p>
    <w:p w:rsidR="00B7166D" w:rsidRPr="00650166" w:rsidRDefault="00B7166D" w:rsidP="00B7166D">
      <w:pPr>
        <w:pStyle w:val="Textoindependiente"/>
        <w:ind w:firstLine="708"/>
        <w:rPr>
          <w:rFonts w:ascii="Calibri" w:hAnsi="Calibri"/>
          <w:color w:val="767171" w:themeColor="background2" w:themeShade="80"/>
          <w:sz w:val="26"/>
        </w:rPr>
      </w:pPr>
      <w:proofErr w:type="gramStart"/>
      <w:r w:rsidRPr="00650166">
        <w:rPr>
          <w:rFonts w:ascii="Calibri" w:hAnsi="Calibri"/>
          <w:b/>
          <w:bCs/>
          <w:i/>
          <w:iCs/>
          <w:color w:val="767171" w:themeColor="background2" w:themeShade="80"/>
          <w:sz w:val="26"/>
        </w:rPr>
        <w:t>SEXTO.-</w:t>
      </w:r>
      <w:proofErr w:type="gramEnd"/>
      <w:r w:rsidRPr="00650166">
        <w:rPr>
          <w:rFonts w:ascii="Calibri" w:hAnsi="Calibri"/>
          <w:color w:val="767171" w:themeColor="background2" w:themeShade="80"/>
          <w:sz w:val="26"/>
        </w:rPr>
        <w:t xml:space="preserve"> No existiendo impedimento legal, se procede al estudio de los conceptos de impugnación expresados por la actora en su escrito de demanda. . . </w:t>
      </w:r>
    </w:p>
    <w:p w:rsidR="00B7166D" w:rsidRPr="00650166" w:rsidRDefault="00B7166D" w:rsidP="00B7166D">
      <w:pPr>
        <w:pStyle w:val="Textoindependiente"/>
        <w:rPr>
          <w:rFonts w:ascii="Calibri" w:hAnsi="Calibri"/>
          <w:b/>
          <w:color w:val="767171" w:themeColor="background2" w:themeShade="80"/>
          <w:sz w:val="26"/>
        </w:rPr>
      </w:pPr>
    </w:p>
    <w:p w:rsidR="00B7166D" w:rsidRPr="00650166" w:rsidRDefault="00B7166D" w:rsidP="00B7166D">
      <w:pPr>
        <w:pStyle w:val="Sangra3detindependiente"/>
        <w:rPr>
          <w:color w:val="767171" w:themeColor="background2" w:themeShade="80"/>
        </w:rPr>
      </w:pPr>
      <w:r w:rsidRPr="00650166">
        <w:rPr>
          <w:color w:val="767171" w:themeColor="background2" w:themeShade="80"/>
        </w:rPr>
        <w:t xml:space="preserve">Este Juzgador de manera primordial procederá al análisis de los conceptos de impugnación, aplicando el principio de mayor consecuencia anulatoria de los actos impugnados y que pudieran traer mayor beneficio a la parte actora, en concordancia con los principios de congruencia y exhaustividad que deben regir en toda sentencia. . . . . . . . . . . . . . . . . . . . . . . . . . . . . . . . . . . . . . . . . . . . . . . . . . . . . . </w:t>
      </w:r>
    </w:p>
    <w:p w:rsidR="00B7166D" w:rsidRPr="00650166" w:rsidRDefault="00B7166D" w:rsidP="00B7166D">
      <w:pPr>
        <w:ind w:firstLine="708"/>
        <w:jc w:val="both"/>
        <w:rPr>
          <w:rFonts w:ascii="Calibri" w:hAnsi="Calibri"/>
          <w:color w:val="767171" w:themeColor="background2" w:themeShade="80"/>
          <w:sz w:val="26"/>
          <w:szCs w:val="27"/>
        </w:rPr>
      </w:pPr>
    </w:p>
    <w:p w:rsidR="00B7166D" w:rsidRPr="00650166" w:rsidRDefault="00B7166D" w:rsidP="00B7166D">
      <w:pPr>
        <w:ind w:firstLine="708"/>
        <w:jc w:val="both"/>
        <w:rPr>
          <w:rFonts w:ascii="Calibri" w:hAnsi="Calibri"/>
          <w:color w:val="767171" w:themeColor="background2" w:themeShade="80"/>
          <w:sz w:val="26"/>
          <w:szCs w:val="27"/>
        </w:rPr>
      </w:pPr>
      <w:r w:rsidRPr="00650166">
        <w:rPr>
          <w:rFonts w:ascii="Calibri" w:hAnsi="Calibri"/>
          <w:color w:val="767171" w:themeColor="background2" w:themeShade="80"/>
          <w:sz w:val="26"/>
          <w:szCs w:val="27"/>
        </w:rPr>
        <w:t>Así pues, de los conceptos de impugnación esgrimido</w:t>
      </w:r>
      <w:r w:rsidRPr="00650166">
        <w:rPr>
          <w:rFonts w:ascii="Calibri" w:hAnsi="Calibri"/>
          <w:color w:val="767171" w:themeColor="background2" w:themeShade="80"/>
          <w:sz w:val="26"/>
        </w:rPr>
        <w:t xml:space="preserve">s, este Juzgador se avocará al estudio del concepto que se considera trascendental para emitir la presente resolución, como lo es el señalado como </w:t>
      </w:r>
      <w:r w:rsidRPr="00650166">
        <w:rPr>
          <w:rFonts w:ascii="Calibri" w:hAnsi="Calibri"/>
          <w:b/>
          <w:color w:val="767171" w:themeColor="background2" w:themeShade="80"/>
          <w:sz w:val="26"/>
        </w:rPr>
        <w:t>Primero</w:t>
      </w:r>
      <w:r w:rsidRPr="00650166">
        <w:rPr>
          <w:rFonts w:ascii="Calibri" w:hAnsi="Calibri"/>
          <w:color w:val="767171" w:themeColor="background2" w:themeShade="80"/>
          <w:sz w:val="26"/>
        </w:rPr>
        <w:t xml:space="preserve">; sin necesidad de transcribirlo en su totalidad así como tampoco los restantes; sirviendo para ello el criterio sostenido por la Suprema Corte de Justicia de la Nación, en la siguiente Jurisprudencia: . . . . . . . . . . </w:t>
      </w:r>
      <w:r w:rsidRPr="00650166">
        <w:rPr>
          <w:rFonts w:ascii="Calibri" w:hAnsi="Calibri"/>
          <w:color w:val="767171" w:themeColor="background2" w:themeShade="80"/>
          <w:sz w:val="26"/>
          <w:szCs w:val="27"/>
        </w:rPr>
        <w:t xml:space="preserve">. . . . . . . . . . . . . . . . . . . . . . . . . . . . . . . . . . . . . . . . . . . . . . </w:t>
      </w:r>
      <w:r w:rsidRPr="00650166">
        <w:rPr>
          <w:rFonts w:ascii="Calibri" w:hAnsi="Calibri"/>
          <w:color w:val="767171" w:themeColor="background2" w:themeShade="80"/>
          <w:sz w:val="26"/>
        </w:rPr>
        <w:t xml:space="preserve"> </w:t>
      </w:r>
    </w:p>
    <w:p w:rsidR="00B7166D" w:rsidRPr="00650166" w:rsidRDefault="00B7166D" w:rsidP="00B7166D">
      <w:pPr>
        <w:jc w:val="both"/>
        <w:rPr>
          <w:rFonts w:ascii="Calibri" w:hAnsi="Calibri"/>
          <w:color w:val="767171" w:themeColor="background2" w:themeShade="80"/>
          <w:sz w:val="26"/>
        </w:rPr>
      </w:pPr>
    </w:p>
    <w:p w:rsidR="00B7166D" w:rsidRPr="00650166" w:rsidRDefault="00B7166D" w:rsidP="00B7166D">
      <w:pPr>
        <w:ind w:firstLine="708"/>
        <w:jc w:val="both"/>
        <w:rPr>
          <w:rFonts w:ascii="Calibri" w:hAnsi="Calibri"/>
          <w:i/>
          <w:iCs/>
          <w:color w:val="767171" w:themeColor="background2" w:themeShade="80"/>
          <w:sz w:val="26"/>
          <w:szCs w:val="26"/>
        </w:rPr>
      </w:pPr>
      <w:r w:rsidRPr="00650166">
        <w:rPr>
          <w:rFonts w:ascii="Calibri" w:hAnsi="Calibri"/>
          <w:b/>
          <w:i/>
          <w:iCs/>
          <w:color w:val="767171" w:themeColor="background2" w:themeShade="80"/>
          <w:sz w:val="26"/>
          <w:szCs w:val="26"/>
        </w:rPr>
        <w:t>“CONCEPTOS DE VIOLACIÓN. EL JUEZ NO ESTÁ OBLIGADO A TRANSCRIBIRLOS.</w:t>
      </w:r>
      <w:r w:rsidRPr="00650166">
        <w:rPr>
          <w:rFonts w:ascii="Calibri" w:hAnsi="Calibri"/>
          <w:i/>
          <w:iCs/>
          <w:color w:val="767171" w:themeColor="background2" w:themeShade="80"/>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650166">
        <w:rPr>
          <w:rFonts w:ascii="Calibri" w:hAnsi="Calibri"/>
          <w:bCs/>
          <w:i/>
          <w:iCs/>
          <w:color w:val="767171" w:themeColor="background2" w:themeShade="80"/>
          <w:sz w:val="26"/>
          <w:szCs w:val="26"/>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650166">
        <w:rPr>
          <w:rFonts w:ascii="Calibri" w:hAnsi="Calibri"/>
          <w:bCs/>
          <w:i/>
          <w:iCs/>
          <w:color w:val="767171" w:themeColor="background2" w:themeShade="80"/>
          <w:szCs w:val="27"/>
        </w:rPr>
        <w:t xml:space="preserve"> </w:t>
      </w:r>
      <w:r w:rsidRPr="00650166">
        <w:rPr>
          <w:rFonts w:ascii="Calibri" w:hAnsi="Calibri"/>
          <w:bCs/>
          <w:i/>
          <w:iCs/>
          <w:color w:val="767171" w:themeColor="background2" w:themeShade="80"/>
          <w:sz w:val="20"/>
          <w:szCs w:val="20"/>
        </w:rPr>
        <w:t>S</w:t>
      </w:r>
      <w:r w:rsidRPr="00650166">
        <w:rPr>
          <w:rFonts w:ascii="Calibri" w:hAnsi="Calibri"/>
          <w:bCs/>
          <w:color w:val="767171" w:themeColor="background2" w:themeShade="80"/>
          <w:sz w:val="20"/>
          <w:szCs w:val="20"/>
        </w:rPr>
        <w:t xml:space="preserve">EGUNDO TRIBUNAL COLEGIADO DEL SEXTO CIRCUITO. No. Registro: 196,477. Jurisprudencia, Materia(s): Común, Novena Época, Instancia: Tribunales Colegiados de Circuito, Fuente: Semanario Judicial de la </w:t>
      </w:r>
      <w:r w:rsidRPr="00650166">
        <w:rPr>
          <w:rFonts w:ascii="Calibri" w:hAnsi="Calibri" w:cs="David Transparent"/>
          <w:bCs/>
          <w:color w:val="767171" w:themeColor="background2" w:themeShade="80"/>
          <w:sz w:val="20"/>
          <w:szCs w:val="20"/>
        </w:rPr>
        <w:t>Federación</w:t>
      </w:r>
      <w:r w:rsidRPr="00650166">
        <w:rPr>
          <w:rFonts w:ascii="Calibri" w:hAnsi="Calibri"/>
          <w:bCs/>
          <w:color w:val="767171" w:themeColor="background2" w:themeShade="80"/>
          <w:sz w:val="20"/>
          <w:szCs w:val="20"/>
        </w:rPr>
        <w:t xml:space="preserve"> y su Gaceta. VII, </w:t>
      </w:r>
      <w:proofErr w:type="gramStart"/>
      <w:r w:rsidRPr="00650166">
        <w:rPr>
          <w:rFonts w:ascii="Calibri" w:hAnsi="Calibri"/>
          <w:bCs/>
          <w:color w:val="767171" w:themeColor="background2" w:themeShade="80"/>
          <w:sz w:val="20"/>
          <w:szCs w:val="20"/>
        </w:rPr>
        <w:t>Abril</w:t>
      </w:r>
      <w:proofErr w:type="gramEnd"/>
      <w:r w:rsidRPr="00650166">
        <w:rPr>
          <w:rFonts w:ascii="Calibri" w:hAnsi="Calibri"/>
          <w:bCs/>
          <w:color w:val="767171" w:themeColor="background2" w:themeShade="80"/>
          <w:sz w:val="20"/>
          <w:szCs w:val="20"/>
        </w:rPr>
        <w:t xml:space="preserve"> de 1998, Tesis: VI.2o. J/129. Página: 599</w:t>
      </w:r>
      <w:r w:rsidRPr="00650166">
        <w:rPr>
          <w:rFonts w:ascii="Calibri" w:hAnsi="Calibri"/>
          <w:bCs/>
          <w:color w:val="767171" w:themeColor="background2" w:themeShade="80"/>
          <w:szCs w:val="27"/>
        </w:rPr>
        <w:t xml:space="preserve">. . . . . . . . . . . . . . . . . . . . . . . . . . . </w:t>
      </w:r>
      <w:proofErr w:type="gramStart"/>
      <w:r w:rsidRPr="00650166">
        <w:rPr>
          <w:rFonts w:ascii="Calibri" w:hAnsi="Calibri"/>
          <w:bCs/>
          <w:color w:val="767171" w:themeColor="background2" w:themeShade="80"/>
          <w:szCs w:val="27"/>
        </w:rPr>
        <w:t>. . . .</w:t>
      </w:r>
      <w:proofErr w:type="gramEnd"/>
      <w:r w:rsidRPr="00650166">
        <w:rPr>
          <w:rFonts w:ascii="Calibri" w:hAnsi="Calibri"/>
          <w:bCs/>
          <w:color w:val="767171" w:themeColor="background2" w:themeShade="80"/>
          <w:szCs w:val="27"/>
        </w:rPr>
        <w:t xml:space="preserve"> . </w:t>
      </w:r>
    </w:p>
    <w:p w:rsidR="00B7166D" w:rsidRPr="00650166" w:rsidRDefault="00B7166D" w:rsidP="00B7166D">
      <w:pPr>
        <w:pStyle w:val="Textoindependiente"/>
        <w:rPr>
          <w:rFonts w:ascii="Calibri" w:hAnsi="Calibri"/>
          <w:color w:val="767171" w:themeColor="background2" w:themeShade="80"/>
          <w:sz w:val="26"/>
          <w:szCs w:val="27"/>
        </w:rPr>
      </w:pPr>
    </w:p>
    <w:p w:rsidR="00B7166D" w:rsidRPr="00650166" w:rsidRDefault="00B7166D" w:rsidP="00B7166D">
      <w:pPr>
        <w:pStyle w:val="Textoindependiente"/>
        <w:ind w:firstLine="708"/>
        <w:rPr>
          <w:rFonts w:ascii="Calibri" w:hAnsi="Calibri"/>
          <w:color w:val="767171" w:themeColor="background2" w:themeShade="80"/>
          <w:sz w:val="26"/>
          <w:szCs w:val="27"/>
        </w:rPr>
      </w:pPr>
      <w:r w:rsidRPr="00650166">
        <w:rPr>
          <w:rFonts w:ascii="Calibri" w:hAnsi="Calibri"/>
          <w:color w:val="767171" w:themeColor="background2" w:themeShade="80"/>
          <w:sz w:val="26"/>
          <w:szCs w:val="27"/>
        </w:rPr>
        <w:t>Así las cosas, en el concepto de impugnación, al que el actor señala como primero</w:t>
      </w:r>
      <w:r w:rsidRPr="00650166">
        <w:rPr>
          <w:rFonts w:ascii="Calibri" w:hAnsi="Calibri"/>
          <w:b/>
          <w:color w:val="767171" w:themeColor="background2" w:themeShade="80"/>
          <w:sz w:val="26"/>
          <w:szCs w:val="27"/>
        </w:rPr>
        <w:t xml:space="preserve">, </w:t>
      </w:r>
      <w:r w:rsidRPr="00650166">
        <w:rPr>
          <w:rFonts w:ascii="Calibri" w:hAnsi="Calibri"/>
          <w:color w:val="767171" w:themeColor="background2" w:themeShade="80"/>
          <w:sz w:val="26"/>
          <w:szCs w:val="27"/>
        </w:rPr>
        <w:t>enunció: . . . . . . . . . . . . . . . . . . . . . . . . . . . . . . . . . . . . . . . . . . . . . . . . . . . . . .</w:t>
      </w:r>
    </w:p>
    <w:p w:rsidR="00B7166D" w:rsidRPr="00650166" w:rsidRDefault="00B7166D" w:rsidP="00B7166D">
      <w:pPr>
        <w:pStyle w:val="Textoindependiente"/>
        <w:ind w:firstLine="708"/>
        <w:rPr>
          <w:rFonts w:ascii="Calibri" w:hAnsi="Calibri"/>
          <w:color w:val="767171" w:themeColor="background2" w:themeShade="80"/>
          <w:sz w:val="26"/>
          <w:szCs w:val="27"/>
        </w:rPr>
      </w:pPr>
    </w:p>
    <w:p w:rsidR="00B7166D" w:rsidRPr="00650166" w:rsidRDefault="00B7166D" w:rsidP="00B7166D">
      <w:pPr>
        <w:ind w:firstLine="708"/>
        <w:jc w:val="both"/>
        <w:rPr>
          <w:rFonts w:ascii="Calibri" w:hAnsi="Calibri"/>
          <w:color w:val="767171" w:themeColor="background2" w:themeShade="80"/>
          <w:sz w:val="26"/>
          <w:szCs w:val="27"/>
        </w:rPr>
      </w:pPr>
      <w:r w:rsidRPr="00650166">
        <w:rPr>
          <w:rFonts w:ascii="Calibri" w:hAnsi="Calibri"/>
          <w:i/>
          <w:color w:val="767171" w:themeColor="background2" w:themeShade="80"/>
          <w:sz w:val="26"/>
          <w:szCs w:val="27"/>
        </w:rPr>
        <w:t>“</w:t>
      </w:r>
      <w:proofErr w:type="gramStart"/>
      <w:r w:rsidRPr="00650166">
        <w:rPr>
          <w:rFonts w:ascii="Calibri" w:hAnsi="Calibri"/>
          <w:b/>
          <w:i/>
          <w:color w:val="767171" w:themeColor="background2" w:themeShade="80"/>
          <w:sz w:val="26"/>
          <w:szCs w:val="27"/>
        </w:rPr>
        <w:t>Primero</w:t>
      </w:r>
      <w:r w:rsidRPr="00650166">
        <w:rPr>
          <w:rFonts w:ascii="Calibri" w:hAnsi="Calibri"/>
          <w:i/>
          <w:color w:val="767171" w:themeColor="background2" w:themeShade="80"/>
          <w:sz w:val="26"/>
          <w:szCs w:val="27"/>
        </w:rPr>
        <w:t>.-</w:t>
      </w:r>
      <w:proofErr w:type="gramEnd"/>
      <w:r w:rsidRPr="00650166">
        <w:rPr>
          <w:rFonts w:ascii="Calibri" w:hAnsi="Calibri"/>
          <w:i/>
          <w:color w:val="767171" w:themeColor="background2" w:themeShade="80"/>
          <w:sz w:val="26"/>
          <w:szCs w:val="27"/>
        </w:rPr>
        <w:t xml:space="preserve"> Se actualizan las causas de ilegalidad previstas por el artículo 302……. Del Código de Procedimiento y Justicia </w:t>
      </w:r>
      <w:proofErr w:type="gramStart"/>
      <w:r w:rsidRPr="00650166">
        <w:rPr>
          <w:rFonts w:ascii="Calibri" w:hAnsi="Calibri"/>
          <w:i/>
          <w:color w:val="767171" w:themeColor="background2" w:themeShade="80"/>
          <w:sz w:val="26"/>
          <w:szCs w:val="27"/>
        </w:rPr>
        <w:t>Administrativa….</w:t>
      </w:r>
      <w:proofErr w:type="gramEnd"/>
      <w:r w:rsidRPr="00650166">
        <w:rPr>
          <w:rFonts w:ascii="Calibri" w:hAnsi="Calibri"/>
          <w:i/>
          <w:color w:val="767171" w:themeColor="background2" w:themeShade="80"/>
          <w:sz w:val="26"/>
          <w:szCs w:val="27"/>
        </w:rPr>
        <w:t xml:space="preserve">.se efectuó en contravención a los artículos 162, 168 y 176 de la Ley de Hacienda para los Municipios del Estado de Guanajuato….ni se le ha notificado la orden de valuación y/o el avalúo mismo……” </w:t>
      </w:r>
      <w:r w:rsidRPr="00650166">
        <w:rPr>
          <w:rFonts w:ascii="Calibri" w:hAnsi="Calibri"/>
          <w:color w:val="767171" w:themeColor="background2" w:themeShade="80"/>
          <w:sz w:val="26"/>
          <w:szCs w:val="27"/>
        </w:rPr>
        <w:t xml:space="preserve">. . . . . . . . . . . . . . . . . . . . . . . . . . . . . . . . . . . . . . . . . . . . . . . . </w:t>
      </w:r>
    </w:p>
    <w:p w:rsidR="00B7166D" w:rsidRPr="00650166" w:rsidRDefault="00B7166D" w:rsidP="00B7166D">
      <w:pPr>
        <w:pStyle w:val="Textoindependiente"/>
        <w:rPr>
          <w:rFonts w:ascii="Calibri" w:hAnsi="Calibri"/>
          <w:color w:val="767171" w:themeColor="background2" w:themeShade="80"/>
          <w:sz w:val="26"/>
          <w:szCs w:val="27"/>
        </w:rPr>
      </w:pPr>
    </w:p>
    <w:p w:rsidR="00B7166D" w:rsidRPr="00650166" w:rsidRDefault="00B7166D" w:rsidP="00B7166D">
      <w:pPr>
        <w:ind w:firstLine="708"/>
        <w:jc w:val="both"/>
        <w:rPr>
          <w:rFonts w:asciiTheme="minorHAnsi" w:hAnsiTheme="minorHAnsi"/>
          <w:color w:val="767171" w:themeColor="background2" w:themeShade="80"/>
          <w:sz w:val="26"/>
          <w:szCs w:val="26"/>
        </w:rPr>
      </w:pPr>
      <w:r w:rsidRPr="00650166">
        <w:rPr>
          <w:rFonts w:asciiTheme="minorHAnsi" w:hAnsiTheme="minorHAnsi"/>
          <w:color w:val="767171" w:themeColor="background2" w:themeShade="80"/>
          <w:sz w:val="26"/>
          <w:szCs w:val="26"/>
        </w:rPr>
        <w:t xml:space="preserve">Por su parte, la autoridad demandada, en su escrito de contestación, en relación a lo expresado por la actora, manifestó que no se le causaba agravio a la parte </w:t>
      </w:r>
      <w:proofErr w:type="gramStart"/>
      <w:r w:rsidRPr="00650166">
        <w:rPr>
          <w:rFonts w:asciiTheme="minorHAnsi" w:hAnsiTheme="minorHAnsi"/>
          <w:color w:val="767171" w:themeColor="background2" w:themeShade="80"/>
          <w:sz w:val="26"/>
          <w:szCs w:val="26"/>
        </w:rPr>
        <w:t>actora,  porque</w:t>
      </w:r>
      <w:proofErr w:type="gramEnd"/>
      <w:r w:rsidRPr="00650166">
        <w:rPr>
          <w:rFonts w:asciiTheme="minorHAnsi" w:hAnsiTheme="minorHAnsi"/>
          <w:color w:val="767171" w:themeColor="background2" w:themeShade="80"/>
          <w:sz w:val="26"/>
          <w:szCs w:val="26"/>
        </w:rPr>
        <w:t xml:space="preserve"> el avalúo que sirvió como base del cobro del impuesto predial fue el realizado en fecha 12 doce de febrero del 2013 dos mil trece, con motivo de la aclaración con superficie del terreno, que fue a instancia de parte. . </w:t>
      </w:r>
      <w:r>
        <w:rPr>
          <w:rFonts w:asciiTheme="minorHAnsi" w:hAnsiTheme="minorHAnsi"/>
          <w:color w:val="767171" w:themeColor="background2" w:themeShade="80"/>
          <w:sz w:val="26"/>
          <w:szCs w:val="26"/>
        </w:rPr>
        <w:t>.</w:t>
      </w:r>
    </w:p>
    <w:p w:rsidR="00B7166D" w:rsidRPr="00650166" w:rsidRDefault="00B7166D" w:rsidP="00B7166D">
      <w:pPr>
        <w:pStyle w:val="Normal0"/>
        <w:autoSpaceDE/>
        <w:autoSpaceDN/>
        <w:adjustRightInd/>
        <w:rPr>
          <w:rFonts w:ascii="Times New Roman" w:hAnsi="Times New Roman" w:cs="Times New Roman"/>
          <w:color w:val="767171" w:themeColor="background2" w:themeShade="80"/>
        </w:rPr>
      </w:pPr>
    </w:p>
    <w:p w:rsidR="00B7166D" w:rsidRPr="00650166" w:rsidRDefault="00B7166D" w:rsidP="00B7166D">
      <w:pPr>
        <w:pStyle w:val="Textoindependiente"/>
        <w:ind w:firstLine="708"/>
        <w:rPr>
          <w:rFonts w:ascii="Calibri" w:hAnsi="Calibri" w:cs="Arial"/>
          <w:color w:val="767171" w:themeColor="background2" w:themeShade="80"/>
          <w:sz w:val="26"/>
          <w:szCs w:val="26"/>
        </w:rPr>
      </w:pPr>
      <w:r w:rsidRPr="00650166">
        <w:rPr>
          <w:rFonts w:ascii="Calibri" w:hAnsi="Calibri" w:cs="Arial"/>
          <w:color w:val="767171" w:themeColor="background2" w:themeShade="80"/>
          <w:sz w:val="26"/>
          <w:szCs w:val="26"/>
        </w:rPr>
        <w:t xml:space="preserve">Analizado lo expresado por las partes, así como las constancias que obran en este sumario; este Juzgador considera que es </w:t>
      </w:r>
      <w:r w:rsidRPr="00650166">
        <w:rPr>
          <w:rFonts w:ascii="Calibri" w:hAnsi="Calibri" w:cs="Arial"/>
          <w:b/>
          <w:bCs/>
          <w:color w:val="767171" w:themeColor="background2" w:themeShade="80"/>
          <w:sz w:val="26"/>
          <w:szCs w:val="26"/>
        </w:rPr>
        <w:t xml:space="preserve">fundado el </w:t>
      </w:r>
      <w:r w:rsidRPr="00650166">
        <w:rPr>
          <w:rFonts w:ascii="Calibri" w:hAnsi="Calibri" w:cs="Arial"/>
          <w:bCs/>
          <w:color w:val="767171" w:themeColor="background2" w:themeShade="80"/>
          <w:sz w:val="26"/>
          <w:szCs w:val="26"/>
        </w:rPr>
        <w:t>concepto de impugnación en estudio</w:t>
      </w:r>
      <w:r w:rsidRPr="00650166">
        <w:rPr>
          <w:rFonts w:ascii="Calibri" w:hAnsi="Calibri" w:cs="Arial"/>
          <w:color w:val="767171" w:themeColor="background2" w:themeShade="80"/>
          <w:sz w:val="26"/>
          <w:szCs w:val="26"/>
        </w:rPr>
        <w:t xml:space="preserve">; pues efectivamente, de acuerdo a las constancias aportadas por las partes, se verificó un incremento en el valor del inmueble, sin que se haya acreditado </w:t>
      </w:r>
      <w:r>
        <w:rPr>
          <w:rFonts w:ascii="Calibri" w:hAnsi="Calibri" w:cs="Arial"/>
          <w:color w:val="767171" w:themeColor="background2" w:themeShade="80"/>
          <w:sz w:val="26"/>
          <w:szCs w:val="26"/>
        </w:rPr>
        <w:t xml:space="preserve">por la autoridad demandada </w:t>
      </w:r>
      <w:r w:rsidRPr="00650166">
        <w:rPr>
          <w:rFonts w:ascii="Calibri" w:hAnsi="Calibri" w:cs="Arial"/>
          <w:color w:val="767171" w:themeColor="background2" w:themeShade="80"/>
          <w:sz w:val="26"/>
          <w:szCs w:val="26"/>
        </w:rPr>
        <w:t>que el procedimiento de valuación  se haya verificado conforme a lo previsto en los artículos 79, 81, 176 y 177 de la Ley de Hacienda para los Muni</w:t>
      </w:r>
      <w:r>
        <w:rPr>
          <w:rFonts w:ascii="Calibri" w:hAnsi="Calibri" w:cs="Arial"/>
          <w:color w:val="767171" w:themeColor="background2" w:themeShade="80"/>
          <w:sz w:val="26"/>
          <w:szCs w:val="26"/>
        </w:rPr>
        <w:t>cipios del Estado de Guanajuato;</w:t>
      </w:r>
      <w:r w:rsidRPr="00650166">
        <w:rPr>
          <w:rFonts w:ascii="Calibri" w:hAnsi="Calibri" w:cs="Arial"/>
          <w:color w:val="767171" w:themeColor="background2" w:themeShade="80"/>
          <w:sz w:val="26"/>
          <w:szCs w:val="26"/>
        </w:rPr>
        <w:t xml:space="preserve"> pues ni la orden de valuación ni los resultados del avalúo, fueron debidamente realizados ni notificados a la ciudadana</w:t>
      </w:r>
      <w:r w:rsidRPr="00650166">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w:t>
      </w:r>
      <w:r w:rsidRPr="00650166">
        <w:rPr>
          <w:rFonts w:ascii="Calibri" w:hAnsi="Calibri" w:cs="Arial"/>
          <w:color w:val="767171" w:themeColor="background2" w:themeShade="80"/>
          <w:sz w:val="26"/>
          <w:szCs w:val="26"/>
        </w:rPr>
        <w:t xml:space="preserve">, en los términos señalados en la ley respectiva. . . . . . . . . </w:t>
      </w:r>
      <w:r>
        <w:rPr>
          <w:rFonts w:ascii="Calibri" w:hAnsi="Calibri" w:cs="Arial"/>
          <w:color w:val="767171" w:themeColor="background2" w:themeShade="80"/>
          <w:sz w:val="26"/>
          <w:szCs w:val="26"/>
        </w:rPr>
        <w:t xml:space="preserve">. . . . . . . . . . . . . . . . . . . . . . . . . . . . . . . . . . . . . . . . . . . .  </w:t>
      </w:r>
    </w:p>
    <w:p w:rsidR="00B7166D" w:rsidRPr="002C4402" w:rsidRDefault="00B7166D" w:rsidP="00B7166D">
      <w:pPr>
        <w:pStyle w:val="Textoindependiente"/>
        <w:ind w:firstLine="708"/>
        <w:rPr>
          <w:rFonts w:ascii="Calibri" w:hAnsi="Calibri" w:cs="Arial"/>
          <w:color w:val="767171" w:themeColor="background2" w:themeShade="80"/>
          <w:sz w:val="26"/>
          <w:szCs w:val="26"/>
        </w:rPr>
      </w:pPr>
      <w:r>
        <w:rPr>
          <w:rFonts w:ascii="Calibri" w:hAnsi="Calibri" w:cs="Arial"/>
          <w:color w:val="FF0000"/>
          <w:sz w:val="26"/>
          <w:szCs w:val="26"/>
        </w:rPr>
        <w:t xml:space="preserve"> </w:t>
      </w:r>
    </w:p>
    <w:p w:rsidR="00B7166D" w:rsidRPr="002C4402" w:rsidRDefault="00B7166D" w:rsidP="00B7166D">
      <w:pPr>
        <w:pStyle w:val="Textoindependiente"/>
        <w:ind w:firstLine="708"/>
        <w:rPr>
          <w:rFonts w:ascii="Calibri" w:hAnsi="Calibri" w:cs="Arial"/>
          <w:color w:val="767171" w:themeColor="background2" w:themeShade="80"/>
          <w:sz w:val="26"/>
          <w:szCs w:val="26"/>
        </w:rPr>
      </w:pPr>
      <w:r w:rsidRPr="002C4402">
        <w:rPr>
          <w:rFonts w:ascii="Calibri" w:hAnsi="Calibri" w:cs="Arial"/>
          <w:color w:val="767171" w:themeColor="background2" w:themeShade="80"/>
          <w:sz w:val="26"/>
          <w:szCs w:val="26"/>
        </w:rPr>
        <w:t xml:space="preserve">En efecto, de las constancias que integran la presente causa administrativa, no se desprende de manera fehaciente que la autoridad enjuiciada haya realizado y notificado debidamente a la justiciable la orden de valuación, el propio avalúo y los resultados del mismo; toda vez que no se exhibió u ofreció, ante este Órgano Jurisdiccional, medio de convicción alguno que demostrara que tal procedimiento se haya llevado a cabo legalmente; esto es así, pues respecto de la orden de valuación, no se mostró orden alguna para llevar a cabo el avalúo, ya que la demandada no presentó documento alguno en el que constara dicha orden;  del mismo modo, en cuanto a la notificación de los resultados del avalúo y de la determinación del impuesto, tampoco la autoridad demandada demostró que le haya notificado a la ciudadana tales actos; </w:t>
      </w:r>
      <w:r w:rsidRPr="002C4402">
        <w:rPr>
          <w:rFonts w:ascii="Calibri" w:hAnsi="Calibri"/>
          <w:color w:val="767171" w:themeColor="background2" w:themeShade="80"/>
          <w:sz w:val="26"/>
          <w:szCs w:val="27"/>
        </w:rPr>
        <w:t xml:space="preserve">resultando con ello, el que </w:t>
      </w:r>
      <w:r w:rsidRPr="002C4402">
        <w:rPr>
          <w:rFonts w:ascii="Calibri" w:hAnsi="Calibri"/>
          <w:b/>
          <w:color w:val="767171" w:themeColor="background2" w:themeShade="80"/>
          <w:sz w:val="26"/>
          <w:szCs w:val="27"/>
        </w:rPr>
        <w:t>no quede desvirtuada</w:t>
      </w:r>
      <w:r w:rsidRPr="002C4402">
        <w:rPr>
          <w:rFonts w:ascii="Calibri" w:hAnsi="Calibri"/>
          <w:color w:val="767171" w:themeColor="background2" w:themeShade="80"/>
          <w:sz w:val="26"/>
          <w:szCs w:val="27"/>
        </w:rPr>
        <w:t xml:space="preserve"> la </w:t>
      </w:r>
      <w:r w:rsidRPr="002C4402">
        <w:rPr>
          <w:rFonts w:ascii="Calibri" w:hAnsi="Calibri"/>
          <w:b/>
          <w:color w:val="767171" w:themeColor="background2" w:themeShade="80"/>
          <w:sz w:val="26"/>
          <w:szCs w:val="27"/>
        </w:rPr>
        <w:t>negativa lisa y llana</w:t>
      </w:r>
      <w:r w:rsidRPr="002C4402">
        <w:rPr>
          <w:rFonts w:ascii="Calibri" w:hAnsi="Calibri"/>
          <w:color w:val="767171" w:themeColor="background2" w:themeShade="80"/>
          <w:sz w:val="26"/>
          <w:szCs w:val="27"/>
        </w:rPr>
        <w:t xml:space="preserve"> que hizo la impetrante del proceso, de que se le haya notificado tanto la orden de valuación como los resultados del avalúo y la determinación del impuesto, así como el propio avalúo del inmueble ubicado en la colonia Club Campestre de esta ciudad</w:t>
      </w:r>
      <w:r w:rsidRPr="002C4402">
        <w:rPr>
          <w:rFonts w:ascii="Calibri" w:hAnsi="Calibri" w:cs="Arial"/>
          <w:color w:val="767171" w:themeColor="background2" w:themeShade="80"/>
          <w:sz w:val="26"/>
          <w:szCs w:val="26"/>
        </w:rPr>
        <w:t>. . . . . . . . . . . . . . . . . . . . . . . . . . . . . . . . . . .</w:t>
      </w:r>
    </w:p>
    <w:p w:rsidR="00B7166D" w:rsidRDefault="00B7166D" w:rsidP="00B7166D">
      <w:pPr>
        <w:pStyle w:val="Textoindependiente"/>
        <w:rPr>
          <w:rFonts w:ascii="Calibri" w:hAnsi="Calibri" w:cs="Arial"/>
          <w:color w:val="FF0000"/>
          <w:sz w:val="26"/>
          <w:szCs w:val="26"/>
        </w:rPr>
      </w:pPr>
    </w:p>
    <w:p w:rsidR="00B7166D" w:rsidRDefault="00B7166D" w:rsidP="00B7166D">
      <w:pPr>
        <w:pStyle w:val="Sangra2detindependiente"/>
        <w:rPr>
          <w:rFonts w:ascii="Calibri" w:hAnsi="Calibri"/>
          <w:color w:val="767171" w:themeColor="background2" w:themeShade="80"/>
          <w:sz w:val="26"/>
          <w:szCs w:val="26"/>
        </w:rPr>
      </w:pPr>
      <w:r w:rsidRPr="002C4402">
        <w:rPr>
          <w:rFonts w:ascii="Calibri" w:hAnsi="Calibri" w:cs="Arial"/>
          <w:color w:val="767171" w:themeColor="background2" w:themeShade="80"/>
          <w:sz w:val="26"/>
          <w:szCs w:val="26"/>
        </w:rPr>
        <w:t xml:space="preserve">Esto es así porque en el caso en concreto, de acuerdo a los recibos oficiales de pago presentados por la parte actora, uno correspondiente al pago del impuesto predial realizado en el año 2016 dos mil dieciséis, y el otro </w:t>
      </w:r>
      <w:proofErr w:type="gramStart"/>
      <w:r w:rsidRPr="002C4402">
        <w:rPr>
          <w:rFonts w:ascii="Calibri" w:hAnsi="Calibri" w:cs="Arial"/>
          <w:color w:val="767171" w:themeColor="background2" w:themeShade="80"/>
          <w:sz w:val="26"/>
          <w:szCs w:val="26"/>
        </w:rPr>
        <w:t>al  realizado</w:t>
      </w:r>
      <w:proofErr w:type="gramEnd"/>
      <w:r w:rsidRPr="002C4402">
        <w:rPr>
          <w:rFonts w:ascii="Calibri" w:hAnsi="Calibri" w:cs="Arial"/>
          <w:color w:val="767171" w:themeColor="background2" w:themeShade="80"/>
          <w:sz w:val="26"/>
          <w:szCs w:val="26"/>
        </w:rPr>
        <w:t xml:space="preserve"> en </w:t>
      </w:r>
      <w:r>
        <w:rPr>
          <w:rFonts w:ascii="Calibri" w:hAnsi="Calibri" w:cs="Arial"/>
          <w:color w:val="767171" w:themeColor="background2" w:themeShade="80"/>
          <w:sz w:val="26"/>
          <w:szCs w:val="26"/>
        </w:rPr>
        <w:t>el</w:t>
      </w:r>
      <w:r w:rsidRPr="002C4402">
        <w:rPr>
          <w:rFonts w:ascii="Calibri" w:hAnsi="Calibri" w:cs="Arial"/>
          <w:color w:val="767171" w:themeColor="background2" w:themeShade="80"/>
          <w:sz w:val="26"/>
          <w:szCs w:val="26"/>
        </w:rPr>
        <w:t xml:space="preserve"> año</w:t>
      </w:r>
      <w:r>
        <w:rPr>
          <w:rFonts w:ascii="Calibri" w:hAnsi="Calibri" w:cs="Arial"/>
          <w:color w:val="767171" w:themeColor="background2" w:themeShade="80"/>
          <w:sz w:val="26"/>
          <w:szCs w:val="26"/>
        </w:rPr>
        <w:t xml:space="preserve"> 2017 dos mil diecisiete;</w:t>
      </w:r>
      <w:r w:rsidRPr="002C4402">
        <w:rPr>
          <w:rFonts w:ascii="Calibri" w:hAnsi="Calibri" w:cs="Arial"/>
          <w:color w:val="767171" w:themeColor="background2" w:themeShade="80"/>
          <w:sz w:val="26"/>
          <w:szCs w:val="26"/>
        </w:rPr>
        <w:t xml:space="preserve"> se desprende que </w:t>
      </w:r>
      <w:r w:rsidRPr="002C4402">
        <w:rPr>
          <w:rFonts w:ascii="Calibri" w:hAnsi="Calibri"/>
          <w:color w:val="767171" w:themeColor="background2" w:themeShade="80"/>
          <w:sz w:val="26"/>
          <w:szCs w:val="26"/>
        </w:rPr>
        <w:t>se elaboró un avalúo, sin que en la prosecución del presente proceso, se haya acreditado de modo alguno, que</w:t>
      </w:r>
    </w:p>
    <w:p w:rsidR="00B7166D" w:rsidRPr="002C4402" w:rsidRDefault="00B7166D" w:rsidP="00B7166D">
      <w:pPr>
        <w:pStyle w:val="Textoindependiente"/>
        <w:ind w:firstLine="708"/>
        <w:jc w:val="right"/>
        <w:rPr>
          <w:rFonts w:ascii="Calibri" w:hAnsi="Calibri" w:cs="Arial"/>
          <w:b/>
          <w:color w:val="767171" w:themeColor="background2" w:themeShade="80"/>
          <w:sz w:val="26"/>
          <w:szCs w:val="27"/>
        </w:rPr>
      </w:pPr>
      <w:r w:rsidRPr="002C4402">
        <w:rPr>
          <w:rFonts w:ascii="Calibri" w:hAnsi="Calibri" w:cs="Arial"/>
          <w:b/>
          <w:color w:val="767171" w:themeColor="background2" w:themeShade="80"/>
          <w:sz w:val="26"/>
          <w:szCs w:val="27"/>
        </w:rPr>
        <w:t>Expediente número 0078/2do JAM/2017-JN</w:t>
      </w:r>
    </w:p>
    <w:p w:rsidR="00B7166D" w:rsidRDefault="00B7166D" w:rsidP="00B7166D">
      <w:pPr>
        <w:pStyle w:val="Sangra2detindependiente"/>
        <w:rPr>
          <w:rFonts w:ascii="Calibri" w:hAnsi="Calibri"/>
          <w:color w:val="767171" w:themeColor="background2" w:themeShade="80"/>
          <w:sz w:val="26"/>
          <w:szCs w:val="26"/>
        </w:rPr>
      </w:pPr>
    </w:p>
    <w:p w:rsidR="00B7166D" w:rsidRPr="002C4402" w:rsidRDefault="00B7166D" w:rsidP="00B7166D">
      <w:pPr>
        <w:pStyle w:val="Sangra2detindependiente"/>
        <w:rPr>
          <w:rFonts w:ascii="Calibri" w:hAnsi="Calibri"/>
          <w:color w:val="767171" w:themeColor="background2" w:themeShade="80"/>
          <w:sz w:val="26"/>
          <w:szCs w:val="26"/>
        </w:rPr>
      </w:pPr>
      <w:r w:rsidRPr="002C4402">
        <w:rPr>
          <w:rFonts w:ascii="Calibri" w:hAnsi="Calibri"/>
          <w:color w:val="767171" w:themeColor="background2" w:themeShade="80"/>
          <w:sz w:val="26"/>
          <w:szCs w:val="26"/>
        </w:rPr>
        <w:t xml:space="preserve">esa modificación de valor, haya sido con motivo de la actualización de alguna de las causas contenidas en el artículo 168 de la Ley de Hacienda para los Municipios del Estado de Guanajuato; pues </w:t>
      </w:r>
      <w:r w:rsidRPr="002C4402">
        <w:rPr>
          <w:rFonts w:ascii="Calibri" w:hAnsi="Calibri"/>
          <w:b/>
          <w:color w:val="767171" w:themeColor="background2" w:themeShade="80"/>
          <w:sz w:val="26"/>
          <w:szCs w:val="26"/>
        </w:rPr>
        <w:t>no se exhibió</w:t>
      </w:r>
      <w:r w:rsidRPr="002C4402">
        <w:rPr>
          <w:rFonts w:ascii="Calibri" w:hAnsi="Calibri"/>
          <w:color w:val="767171" w:themeColor="background2" w:themeShade="80"/>
          <w:sz w:val="26"/>
          <w:szCs w:val="26"/>
        </w:rPr>
        <w:t xml:space="preserve"> la orden de avalúo que diera soporte y legalidad al propio avalúo practicado. . . . . . . . . . . . . . . . . . . . . . </w:t>
      </w:r>
      <w:r>
        <w:rPr>
          <w:rFonts w:ascii="Calibri" w:hAnsi="Calibri"/>
          <w:color w:val="767171" w:themeColor="background2" w:themeShade="80"/>
          <w:sz w:val="26"/>
          <w:szCs w:val="26"/>
        </w:rPr>
        <w:t xml:space="preserve">.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w:t>
      </w:r>
    </w:p>
    <w:p w:rsidR="00B7166D" w:rsidRPr="009E1DEC" w:rsidRDefault="00B7166D" w:rsidP="00B7166D">
      <w:pPr>
        <w:ind w:firstLine="708"/>
        <w:jc w:val="both"/>
        <w:rPr>
          <w:rFonts w:ascii="Calibri" w:hAnsi="Calibri"/>
          <w:color w:val="AEAAAA" w:themeColor="background2" w:themeShade="BF"/>
          <w:sz w:val="26"/>
          <w:szCs w:val="26"/>
          <w:lang w:val="es-MX"/>
        </w:rPr>
      </w:pPr>
    </w:p>
    <w:p w:rsidR="00B7166D" w:rsidRPr="00E530BB" w:rsidRDefault="00B7166D" w:rsidP="00B7166D">
      <w:pPr>
        <w:pStyle w:val="Textoindependiente"/>
        <w:ind w:firstLine="708"/>
        <w:rPr>
          <w:rFonts w:ascii="Calibri" w:hAnsi="Calibri"/>
          <w:color w:val="767171" w:themeColor="background2" w:themeShade="80"/>
          <w:sz w:val="26"/>
          <w:szCs w:val="26"/>
        </w:rPr>
      </w:pPr>
      <w:r w:rsidRPr="00E530BB">
        <w:rPr>
          <w:rFonts w:ascii="Calibri" w:hAnsi="Calibri"/>
          <w:color w:val="767171" w:themeColor="background2" w:themeShade="80"/>
          <w:sz w:val="26"/>
          <w:szCs w:val="26"/>
        </w:rPr>
        <w:t xml:space="preserve">Esto es, no se acreditó por la autoridad demandada, que la orden de valuación se haya hecho del conocimiento de la impetrante del juicio de una manera legal, mediante las notificaciones personales correspondientes; vulnerando lo establecido en los artículos 79 y 81 de la misma Ley de Hacienda para los Municipios del Estado de Guanajuato; pues es evidente que la demandada </w:t>
      </w:r>
    </w:p>
    <w:p w:rsidR="00B7166D" w:rsidRPr="00E530BB" w:rsidRDefault="00B7166D" w:rsidP="00B7166D">
      <w:pPr>
        <w:pStyle w:val="Textoindependiente"/>
        <w:rPr>
          <w:rFonts w:ascii="Calibri" w:hAnsi="Calibri" w:cs="Arial"/>
          <w:color w:val="767171" w:themeColor="background2" w:themeShade="80"/>
          <w:sz w:val="26"/>
          <w:szCs w:val="26"/>
        </w:rPr>
      </w:pPr>
      <w:r w:rsidRPr="00E530BB">
        <w:rPr>
          <w:rFonts w:ascii="Calibri" w:hAnsi="Calibri"/>
          <w:color w:val="767171" w:themeColor="background2" w:themeShade="80"/>
          <w:sz w:val="26"/>
          <w:szCs w:val="26"/>
        </w:rPr>
        <w:t xml:space="preserve">fue omisa en </w:t>
      </w:r>
      <w:r w:rsidRPr="00E530BB">
        <w:rPr>
          <w:rFonts w:ascii="Calibri" w:hAnsi="Calibri" w:cs="Arial"/>
          <w:color w:val="767171" w:themeColor="background2" w:themeShade="80"/>
          <w:sz w:val="26"/>
          <w:szCs w:val="26"/>
        </w:rPr>
        <w:t xml:space="preserve">probar que la orden de valuación se haya presentado o dado a conocer legalmente a la contribuyente; por lo que se concluye que a la justiciable no le fue mostrada dicha orden; todo lo anterior, sin duda constituye una violación a lo dispuesto en los primeros párrafos de los artículos 176 y 177 de la Ley de Hacienda para los Municipios de Guanajuato; que establecen: . . . . . . . . . . . . </w:t>
      </w:r>
      <w:proofErr w:type="gramStart"/>
      <w:r w:rsidRPr="00E530BB">
        <w:rPr>
          <w:rFonts w:ascii="Calibri" w:hAnsi="Calibri" w:cs="Arial"/>
          <w:color w:val="767171" w:themeColor="background2" w:themeShade="80"/>
          <w:sz w:val="26"/>
          <w:szCs w:val="26"/>
        </w:rPr>
        <w:t>. . . .</w:t>
      </w:r>
      <w:proofErr w:type="gramEnd"/>
      <w:r w:rsidRPr="00E530BB">
        <w:rPr>
          <w:rFonts w:ascii="Calibri" w:hAnsi="Calibri" w:cs="Arial"/>
          <w:color w:val="767171" w:themeColor="background2" w:themeShade="80"/>
          <w:sz w:val="26"/>
          <w:szCs w:val="26"/>
        </w:rPr>
        <w:t xml:space="preserve"> .</w:t>
      </w:r>
    </w:p>
    <w:p w:rsidR="00B7166D" w:rsidRPr="00E530BB" w:rsidRDefault="00B7166D" w:rsidP="00B7166D">
      <w:pPr>
        <w:pStyle w:val="Textoindependiente"/>
        <w:ind w:firstLine="708"/>
        <w:rPr>
          <w:rFonts w:ascii="Calibri" w:hAnsi="Calibri" w:cs="Arial"/>
          <w:color w:val="767171" w:themeColor="background2" w:themeShade="80"/>
          <w:sz w:val="26"/>
          <w:szCs w:val="26"/>
        </w:rPr>
      </w:pPr>
    </w:p>
    <w:p w:rsidR="00B7166D" w:rsidRPr="00E530BB" w:rsidRDefault="00B7166D" w:rsidP="00B7166D">
      <w:pPr>
        <w:pStyle w:val="Textoindependiente"/>
        <w:ind w:firstLine="708"/>
        <w:rPr>
          <w:rFonts w:ascii="Calibri" w:hAnsi="Calibri" w:cs="Arial"/>
          <w:i/>
          <w:color w:val="767171" w:themeColor="background2" w:themeShade="80"/>
          <w:sz w:val="26"/>
          <w:szCs w:val="26"/>
        </w:rPr>
      </w:pPr>
      <w:r w:rsidRPr="00E530BB">
        <w:rPr>
          <w:rFonts w:ascii="Calibri" w:hAnsi="Calibri" w:cs="Arial"/>
          <w:i/>
          <w:color w:val="767171" w:themeColor="background2" w:themeShade="80"/>
          <w:sz w:val="26"/>
          <w:szCs w:val="26"/>
        </w:rPr>
        <w:t xml:space="preserve">“Artículo 176.- La práctica de todo avalúo deberá ser ordenada por la Tesorería Municipal por escrito en los casos que esta ley establece y será practicada por los peritos que se designen para este efecto…” . . . . . . . . . . . . . . . . . </w:t>
      </w:r>
      <w:r>
        <w:rPr>
          <w:rFonts w:ascii="Calibri" w:hAnsi="Calibri" w:cs="Arial"/>
          <w:i/>
          <w:color w:val="767171" w:themeColor="background2" w:themeShade="80"/>
          <w:sz w:val="26"/>
          <w:szCs w:val="26"/>
        </w:rPr>
        <w:t>. . . . . . . . . .</w:t>
      </w:r>
    </w:p>
    <w:p w:rsidR="00B7166D" w:rsidRPr="00E530BB" w:rsidRDefault="00B7166D" w:rsidP="00B7166D">
      <w:pPr>
        <w:pStyle w:val="Textoindependiente"/>
        <w:rPr>
          <w:rFonts w:ascii="Calibri" w:hAnsi="Calibri" w:cs="Arial"/>
          <w:i/>
          <w:iCs/>
          <w:color w:val="767171" w:themeColor="background2" w:themeShade="80"/>
          <w:sz w:val="26"/>
          <w:szCs w:val="26"/>
        </w:rPr>
      </w:pPr>
    </w:p>
    <w:p w:rsidR="00B7166D" w:rsidRPr="00E530BB" w:rsidRDefault="00B7166D" w:rsidP="00B7166D">
      <w:pPr>
        <w:pStyle w:val="Textoindependiente"/>
        <w:rPr>
          <w:rFonts w:ascii="Calibri" w:hAnsi="Calibri" w:cs="Arial"/>
          <w:iCs/>
          <w:color w:val="767171" w:themeColor="background2" w:themeShade="80"/>
          <w:sz w:val="26"/>
          <w:szCs w:val="26"/>
        </w:rPr>
      </w:pPr>
      <w:r w:rsidRPr="00E530BB">
        <w:rPr>
          <w:rFonts w:ascii="Calibri" w:hAnsi="Calibri" w:cs="Arial"/>
          <w:i/>
          <w:iCs/>
          <w:color w:val="767171" w:themeColor="background2" w:themeShade="80"/>
          <w:sz w:val="26"/>
          <w:szCs w:val="26"/>
        </w:rPr>
        <w:tab/>
        <w:t xml:space="preserve">“Artículo 177.- En la práctica de los avalúos a que se refiere la fracción II del artículo 162 de esta Ley, </w:t>
      </w:r>
      <w:r w:rsidRPr="00E530BB">
        <w:rPr>
          <w:rFonts w:ascii="Calibri" w:hAnsi="Calibri" w:cs="Arial"/>
          <w:i/>
          <w:iCs/>
          <w:color w:val="767171" w:themeColor="background2" w:themeShade="80"/>
          <w:sz w:val="26"/>
          <w:szCs w:val="26"/>
          <w:u w:val="single"/>
        </w:rPr>
        <w:t>los peritos deberán presentarse en hora y día hábiles</w:t>
      </w:r>
      <w:r w:rsidRPr="00E530BB">
        <w:rPr>
          <w:rFonts w:ascii="Calibri" w:hAnsi="Calibri" w:cs="Arial"/>
          <w:i/>
          <w:iCs/>
          <w:color w:val="767171" w:themeColor="background2" w:themeShade="80"/>
          <w:sz w:val="26"/>
          <w:szCs w:val="26"/>
        </w:rPr>
        <w:t xml:space="preserve"> y se identificarán con la documentación correspondiente, </w:t>
      </w:r>
      <w:r w:rsidRPr="00E530BB">
        <w:rPr>
          <w:rFonts w:ascii="Calibri" w:hAnsi="Calibri" w:cs="Arial"/>
          <w:i/>
          <w:iCs/>
          <w:color w:val="767171" w:themeColor="background2" w:themeShade="80"/>
          <w:sz w:val="26"/>
          <w:szCs w:val="26"/>
          <w:u w:val="single"/>
        </w:rPr>
        <w:t>en el inmueble que deba ser objeto de la valuación</w:t>
      </w:r>
      <w:r w:rsidRPr="00E530BB">
        <w:rPr>
          <w:rFonts w:ascii="Calibri" w:hAnsi="Calibri" w:cs="Arial"/>
          <w:i/>
          <w:iCs/>
          <w:color w:val="767171" w:themeColor="background2" w:themeShade="80"/>
          <w:sz w:val="26"/>
          <w:szCs w:val="26"/>
        </w:rPr>
        <w:t xml:space="preserve"> y mostrarán a sus ocupantes la orden respectiva.</w:t>
      </w:r>
      <w:r w:rsidRPr="00E530BB">
        <w:rPr>
          <w:rFonts w:ascii="Calibri" w:hAnsi="Calibri" w:cs="Arial"/>
          <w:b/>
          <w:i/>
          <w:iCs/>
          <w:color w:val="767171" w:themeColor="background2" w:themeShade="80"/>
          <w:sz w:val="26"/>
          <w:szCs w:val="26"/>
        </w:rPr>
        <w:t>”</w:t>
      </w:r>
      <w:r w:rsidRPr="00E530BB">
        <w:rPr>
          <w:rFonts w:ascii="Calibri" w:hAnsi="Calibri" w:cs="Arial"/>
          <w:b/>
          <w:iCs/>
          <w:color w:val="767171" w:themeColor="background2" w:themeShade="80"/>
          <w:sz w:val="26"/>
          <w:szCs w:val="26"/>
        </w:rPr>
        <w:t xml:space="preserve"> </w:t>
      </w:r>
      <w:r w:rsidRPr="00E530BB">
        <w:rPr>
          <w:rFonts w:ascii="Calibri" w:hAnsi="Calibri" w:cs="Arial"/>
          <w:iCs/>
          <w:color w:val="767171" w:themeColor="background2" w:themeShade="80"/>
          <w:sz w:val="26"/>
          <w:szCs w:val="26"/>
        </w:rPr>
        <w:t xml:space="preserve">(lo subrayado es </w:t>
      </w:r>
      <w:proofErr w:type="gramStart"/>
      <w:r w:rsidRPr="00E530BB">
        <w:rPr>
          <w:rFonts w:ascii="Calibri" w:hAnsi="Calibri" w:cs="Arial"/>
          <w:iCs/>
          <w:color w:val="767171" w:themeColor="background2" w:themeShade="80"/>
          <w:sz w:val="26"/>
          <w:szCs w:val="26"/>
        </w:rPr>
        <w:t>nuestro). . .</w:t>
      </w:r>
      <w:proofErr w:type="gramEnd"/>
      <w:r w:rsidRPr="00E530BB">
        <w:rPr>
          <w:rFonts w:ascii="Calibri" w:hAnsi="Calibri" w:cs="Arial"/>
          <w:iCs/>
          <w:color w:val="767171" w:themeColor="background2" w:themeShade="80"/>
          <w:sz w:val="26"/>
          <w:szCs w:val="26"/>
        </w:rPr>
        <w:t xml:space="preserve"> . . . . . . . . . . . . . . . . . . . . . . . . . . . . . . . . . . . . . . . . . . . . . </w:t>
      </w:r>
      <w:r>
        <w:rPr>
          <w:rFonts w:ascii="Calibri" w:hAnsi="Calibri" w:cs="Arial"/>
          <w:iCs/>
          <w:color w:val="767171" w:themeColor="background2" w:themeShade="80"/>
          <w:sz w:val="26"/>
          <w:szCs w:val="26"/>
        </w:rPr>
        <w:t>. . .</w:t>
      </w:r>
    </w:p>
    <w:p w:rsidR="00B7166D" w:rsidRPr="00E530BB" w:rsidRDefault="00B7166D" w:rsidP="00B7166D">
      <w:pPr>
        <w:jc w:val="both"/>
        <w:rPr>
          <w:rFonts w:asciiTheme="minorHAnsi" w:hAnsiTheme="minorHAnsi" w:cs="Arial"/>
          <w:i/>
          <w:color w:val="767171" w:themeColor="background2" w:themeShade="80"/>
          <w:sz w:val="26"/>
          <w:szCs w:val="26"/>
        </w:rPr>
      </w:pPr>
    </w:p>
    <w:p w:rsidR="00B7166D" w:rsidRPr="00E530BB" w:rsidRDefault="00B7166D" w:rsidP="00B7166D">
      <w:pPr>
        <w:ind w:firstLine="708"/>
        <w:jc w:val="both"/>
        <w:rPr>
          <w:rFonts w:asciiTheme="minorHAnsi" w:hAnsiTheme="minorHAnsi" w:cs="Arial"/>
          <w:i/>
          <w:color w:val="767171" w:themeColor="background2" w:themeShade="80"/>
          <w:sz w:val="26"/>
          <w:szCs w:val="26"/>
        </w:rPr>
      </w:pPr>
      <w:r w:rsidRPr="00E530BB">
        <w:rPr>
          <w:rFonts w:asciiTheme="minorHAnsi" w:hAnsiTheme="minorHAnsi" w:cs="Arial"/>
          <w:i/>
          <w:color w:val="767171" w:themeColor="background2" w:themeShade="80"/>
          <w:sz w:val="26"/>
          <w:szCs w:val="26"/>
        </w:rPr>
        <w:t xml:space="preserve">En estos casos la valuación se hará con base en los elementos de que se disponga.” . . . . . . . . . . . . . . . . . . . . . . . . . . . . . . . . . . . . . . . . . . . . . . . . . . . . . . . . . . . . </w:t>
      </w:r>
    </w:p>
    <w:p w:rsidR="00B7166D" w:rsidRPr="00E530BB" w:rsidRDefault="00B7166D" w:rsidP="00B7166D">
      <w:pPr>
        <w:pStyle w:val="Textoindependiente"/>
        <w:rPr>
          <w:rFonts w:ascii="Calibri" w:hAnsi="Calibri" w:cs="Arial"/>
          <w:color w:val="767171" w:themeColor="background2" w:themeShade="80"/>
          <w:sz w:val="26"/>
          <w:szCs w:val="26"/>
        </w:rPr>
      </w:pPr>
    </w:p>
    <w:p w:rsidR="00B7166D" w:rsidRPr="00E530BB" w:rsidRDefault="00B7166D" w:rsidP="00B7166D">
      <w:pPr>
        <w:ind w:firstLine="708"/>
        <w:jc w:val="both"/>
        <w:rPr>
          <w:rFonts w:asciiTheme="minorHAnsi" w:hAnsiTheme="minorHAnsi" w:cs="Arial"/>
          <w:color w:val="767171" w:themeColor="background2" w:themeShade="80"/>
          <w:sz w:val="26"/>
          <w:szCs w:val="26"/>
        </w:rPr>
      </w:pPr>
      <w:r w:rsidRPr="00E530BB">
        <w:rPr>
          <w:rFonts w:ascii="Calibri" w:hAnsi="Calibri" w:cs="Arial"/>
          <w:color w:val="767171" w:themeColor="background2" w:themeShade="80"/>
          <w:sz w:val="26"/>
          <w:szCs w:val="26"/>
        </w:rPr>
        <w:t xml:space="preserve">Texto del que se desprende que la orden de valuación debe darse a conocer a los ocupantes del inmueble a efecto de que se realice la inspección del lugar y pueda hacerse el avalúo. Inspección que debe estar plasmada en un acta circunstanciada, en la que se anote lo que ocurrió en la visita. . . . . . . . . . . . . . . . . . </w:t>
      </w:r>
    </w:p>
    <w:p w:rsidR="00B7166D" w:rsidRPr="00E530BB" w:rsidRDefault="00B7166D" w:rsidP="00B7166D">
      <w:pPr>
        <w:jc w:val="both"/>
        <w:rPr>
          <w:rFonts w:ascii="Calibri" w:hAnsi="Calibri"/>
          <w:color w:val="767171" w:themeColor="background2" w:themeShade="80"/>
          <w:sz w:val="26"/>
          <w:szCs w:val="27"/>
        </w:rPr>
      </w:pPr>
    </w:p>
    <w:p w:rsidR="00B7166D" w:rsidRPr="00E530BB" w:rsidRDefault="00B7166D" w:rsidP="00B7166D">
      <w:pPr>
        <w:pStyle w:val="Textoindependiente"/>
        <w:ind w:firstLine="708"/>
        <w:rPr>
          <w:rFonts w:ascii="Calibri" w:hAnsi="Calibri" w:cs="Arial"/>
          <w:color w:val="767171" w:themeColor="background2" w:themeShade="80"/>
          <w:sz w:val="26"/>
          <w:szCs w:val="26"/>
        </w:rPr>
      </w:pPr>
      <w:r w:rsidRPr="00E530BB">
        <w:rPr>
          <w:rFonts w:ascii="Calibri" w:hAnsi="Calibri" w:cs="Arial"/>
          <w:color w:val="767171" w:themeColor="background2" w:themeShade="80"/>
          <w:sz w:val="26"/>
          <w:szCs w:val="26"/>
        </w:rPr>
        <w:t>Es por todo lo antes razonado y sustentado, que se considera fu</w:t>
      </w:r>
      <w:r w:rsidRPr="00E530BB">
        <w:rPr>
          <w:rFonts w:ascii="Calibri" w:hAnsi="Calibri" w:cs="Arial"/>
          <w:bCs/>
          <w:color w:val="767171" w:themeColor="background2" w:themeShade="80"/>
          <w:sz w:val="26"/>
          <w:szCs w:val="26"/>
        </w:rPr>
        <w:t xml:space="preserve">ndado </w:t>
      </w:r>
      <w:r w:rsidRPr="00E530BB">
        <w:rPr>
          <w:rFonts w:ascii="Calibri" w:hAnsi="Calibri" w:cs="Arial"/>
          <w:color w:val="767171" w:themeColor="background2" w:themeShade="80"/>
          <w:sz w:val="26"/>
          <w:szCs w:val="26"/>
        </w:rPr>
        <w:t xml:space="preserve">lo argumentado por la parte actora en los conceptos de impugnación en examen; pues está demostrado que para la realización de los actos administrativos impugnados, se violó en perjuicio de la ciudadana </w:t>
      </w:r>
      <w:proofErr w:type="gramStart"/>
      <w:r>
        <w:rPr>
          <w:rFonts w:ascii="Calibri" w:hAnsi="Calibri"/>
          <w:color w:val="767171" w:themeColor="background2" w:themeShade="80"/>
          <w:sz w:val="26"/>
          <w:szCs w:val="26"/>
        </w:rPr>
        <w:t>(....</w:t>
      </w:r>
      <w:proofErr w:type="gramEnd"/>
      <w:r>
        <w:rPr>
          <w:rFonts w:ascii="Calibri" w:hAnsi="Calibri"/>
          <w:color w:val="767171" w:themeColor="background2" w:themeShade="80"/>
          <w:sz w:val="26"/>
          <w:szCs w:val="26"/>
        </w:rPr>
        <w:t>.)</w:t>
      </w:r>
      <w:r w:rsidRPr="00E530BB">
        <w:rPr>
          <w:rFonts w:ascii="Calibri" w:hAnsi="Calibri" w:cs="Arial"/>
          <w:color w:val="767171" w:themeColor="background2" w:themeShade="80"/>
          <w:sz w:val="26"/>
          <w:szCs w:val="26"/>
        </w:rPr>
        <w:t>, el contenido de los artículos 79, 81, 176 y 177 de la Ley de Hacienda para los Municipios del Estado de Guanajuato. . . . . . . . . . . . . . . . . . . . . . . . . . . . . . . . . . . . . .</w:t>
      </w:r>
    </w:p>
    <w:p w:rsidR="00B7166D" w:rsidRPr="00E530BB" w:rsidRDefault="00B7166D" w:rsidP="00B7166D">
      <w:pPr>
        <w:pStyle w:val="Textoindependiente"/>
        <w:rPr>
          <w:rFonts w:ascii="Calibri" w:hAnsi="Calibri" w:cs="Arial"/>
          <w:i/>
          <w:iCs/>
          <w:color w:val="767171" w:themeColor="background2" w:themeShade="80"/>
          <w:sz w:val="22"/>
          <w:szCs w:val="26"/>
        </w:rPr>
      </w:pPr>
    </w:p>
    <w:p w:rsidR="00B7166D" w:rsidRPr="00E530BB" w:rsidRDefault="00B7166D" w:rsidP="00B7166D">
      <w:pPr>
        <w:jc w:val="both"/>
        <w:rPr>
          <w:rFonts w:ascii="Calibri" w:hAnsi="Calibri"/>
          <w:color w:val="767171" w:themeColor="background2" w:themeShade="80"/>
          <w:sz w:val="26"/>
          <w:szCs w:val="27"/>
        </w:rPr>
      </w:pPr>
      <w:r w:rsidRPr="00E530BB">
        <w:rPr>
          <w:rFonts w:ascii="Calibri" w:hAnsi="Calibri" w:cs="Arial"/>
          <w:iCs/>
          <w:color w:val="767171" w:themeColor="background2" w:themeShade="80"/>
          <w:sz w:val="26"/>
          <w:szCs w:val="26"/>
        </w:rPr>
        <w:tab/>
        <w:t>No es óbice a lo anterior señalar que</w:t>
      </w:r>
      <w:r>
        <w:rPr>
          <w:rFonts w:ascii="Calibri" w:hAnsi="Calibri" w:cs="Arial"/>
          <w:iCs/>
          <w:color w:val="767171" w:themeColor="background2" w:themeShade="80"/>
          <w:sz w:val="26"/>
          <w:szCs w:val="26"/>
        </w:rPr>
        <w:t>,</w:t>
      </w:r>
      <w:r w:rsidRPr="00E530BB">
        <w:rPr>
          <w:rFonts w:ascii="Calibri" w:hAnsi="Calibri" w:cs="Arial"/>
          <w:iCs/>
          <w:color w:val="767171" w:themeColor="background2" w:themeShade="80"/>
          <w:sz w:val="26"/>
          <w:szCs w:val="26"/>
        </w:rPr>
        <w:t xml:space="preserve"> la autoridad demandada no acreditó lo que manifestó en su escrito de contestación de la demanda, acerca de que el valor del inmueble por la</w:t>
      </w:r>
      <w:r w:rsidRPr="00E530BB">
        <w:rPr>
          <w:rFonts w:ascii="Calibri" w:hAnsi="Calibri"/>
          <w:color w:val="767171" w:themeColor="background2" w:themeShade="80"/>
          <w:sz w:val="26"/>
        </w:rPr>
        <w:t xml:space="preserve"> cantidad de $9’328,506.80  (Nueve millones trescientos veintiocho mil quinientos seis pesos 80/100 Moneda Nacional), fue reactivado después de dar cumplimiento a lo señalado en la resolución del juicio de Amparo con número 116/2015-IV; ya que no aportó constancia alguna que apoyara tal aseveración.</w:t>
      </w:r>
      <w:r w:rsidRPr="00E530BB">
        <w:rPr>
          <w:rFonts w:ascii="Calibri" w:hAnsi="Calibri"/>
          <w:color w:val="767171" w:themeColor="background2" w:themeShade="80"/>
          <w:sz w:val="26"/>
          <w:szCs w:val="27"/>
        </w:rPr>
        <w:t xml:space="preserve"> . . . . . . . . . . . . . . . . . . . . . . . . . . . . . . . . . . . . . . . . . . . . . . . . . . . . . . . . . . </w:t>
      </w:r>
    </w:p>
    <w:p w:rsidR="00B7166D" w:rsidRPr="00E530BB" w:rsidRDefault="00B7166D" w:rsidP="00B7166D">
      <w:pPr>
        <w:pStyle w:val="Textoindependiente"/>
        <w:rPr>
          <w:rFonts w:ascii="Calibri" w:hAnsi="Calibri" w:cs="Arial"/>
          <w:i/>
          <w:iCs/>
          <w:color w:val="767171" w:themeColor="background2" w:themeShade="80"/>
          <w:sz w:val="22"/>
          <w:szCs w:val="26"/>
        </w:rPr>
      </w:pPr>
    </w:p>
    <w:p w:rsidR="00B7166D" w:rsidRPr="00E530BB" w:rsidRDefault="00B7166D" w:rsidP="00B7166D">
      <w:pPr>
        <w:ind w:firstLine="708"/>
        <w:jc w:val="both"/>
        <w:rPr>
          <w:rFonts w:ascii="Calibri" w:hAnsi="Calibri"/>
          <w:bCs/>
          <w:color w:val="767171" w:themeColor="background2" w:themeShade="80"/>
          <w:sz w:val="26"/>
          <w:szCs w:val="27"/>
        </w:rPr>
      </w:pPr>
      <w:r w:rsidRPr="00E530BB">
        <w:rPr>
          <w:rFonts w:ascii="Calibri" w:hAnsi="Calibri" w:cs="Arial"/>
          <w:color w:val="767171" w:themeColor="background2" w:themeShade="80"/>
          <w:sz w:val="26"/>
          <w:szCs w:val="26"/>
        </w:rPr>
        <w:t xml:space="preserve">Así las cosas, al resultar </w:t>
      </w:r>
      <w:r w:rsidRPr="00E530BB">
        <w:rPr>
          <w:rFonts w:ascii="Calibri" w:hAnsi="Calibri" w:cs="Arial"/>
          <w:b/>
          <w:bCs/>
          <w:color w:val="767171" w:themeColor="background2" w:themeShade="80"/>
          <w:sz w:val="26"/>
          <w:szCs w:val="26"/>
        </w:rPr>
        <w:t>fundado</w:t>
      </w:r>
      <w:r w:rsidRPr="00E530BB">
        <w:rPr>
          <w:rFonts w:ascii="Calibri" w:hAnsi="Calibri" w:cs="Arial"/>
          <w:color w:val="767171" w:themeColor="background2" w:themeShade="80"/>
          <w:sz w:val="26"/>
          <w:szCs w:val="26"/>
        </w:rPr>
        <w:t xml:space="preserve"> el concepto de impugnación analizado; con fundamento en las fracciones II y III del artículo 302 del Código de Procedimiento y Justicia Administrativa para el Estado y los Municipios de Guanajuato, y en los términos de la fracción II del artículo 300 del citado Código, se declara la </w:t>
      </w:r>
      <w:r w:rsidRPr="00E530BB">
        <w:rPr>
          <w:rFonts w:ascii="Calibri" w:hAnsi="Calibri" w:cs="Arial"/>
          <w:b/>
          <w:color w:val="767171" w:themeColor="background2" w:themeShade="80"/>
          <w:sz w:val="26"/>
          <w:szCs w:val="26"/>
        </w:rPr>
        <w:t xml:space="preserve">nulidad total </w:t>
      </w:r>
      <w:r w:rsidRPr="00E530BB">
        <w:rPr>
          <w:rFonts w:ascii="Calibri" w:hAnsi="Calibri" w:cs="Arial"/>
          <w:color w:val="767171" w:themeColor="background2" w:themeShade="80"/>
          <w:sz w:val="26"/>
          <w:szCs w:val="26"/>
        </w:rPr>
        <w:t xml:space="preserve">de los actos impugnados consistentes en el procedimiento realizado para </w:t>
      </w:r>
      <w:proofErr w:type="spellStart"/>
      <w:r w:rsidRPr="00E530BB">
        <w:rPr>
          <w:rFonts w:ascii="Calibri" w:hAnsi="Calibri"/>
          <w:bCs/>
          <w:color w:val="767171" w:themeColor="background2" w:themeShade="80"/>
          <w:sz w:val="26"/>
          <w:szCs w:val="27"/>
        </w:rPr>
        <w:t>valuar</w:t>
      </w:r>
      <w:proofErr w:type="spellEnd"/>
      <w:r w:rsidRPr="00E530BB">
        <w:rPr>
          <w:rFonts w:ascii="Calibri" w:hAnsi="Calibri"/>
          <w:bCs/>
          <w:color w:val="767171" w:themeColor="background2" w:themeShade="80"/>
          <w:sz w:val="26"/>
          <w:szCs w:val="27"/>
        </w:rPr>
        <w:t xml:space="preserve"> el inmueble ubicado en </w:t>
      </w:r>
      <w:r>
        <w:rPr>
          <w:rFonts w:ascii="Calibri" w:hAnsi="Calibri"/>
          <w:bCs/>
          <w:color w:val="767171" w:themeColor="background2" w:themeShade="80"/>
          <w:sz w:val="26"/>
          <w:szCs w:val="27"/>
        </w:rPr>
        <w:t>(.....)</w:t>
      </w:r>
      <w:r w:rsidRPr="00E530BB">
        <w:rPr>
          <w:rFonts w:ascii="Calibri" w:hAnsi="Calibri"/>
          <w:bCs/>
          <w:color w:val="767171" w:themeColor="background2" w:themeShade="80"/>
          <w:sz w:val="26"/>
          <w:szCs w:val="27"/>
        </w:rPr>
        <w:t xml:space="preserve">, de esta ciudad; registrado bajo la cuenta predial número 01-A-A15406-001  (cero-uno AA uno-cinco-cuatro-cero-seis </w:t>
      </w:r>
      <w:proofErr w:type="spellStart"/>
      <w:r w:rsidRPr="00E530BB">
        <w:rPr>
          <w:rFonts w:ascii="Calibri" w:hAnsi="Calibri"/>
          <w:bCs/>
          <w:color w:val="767171" w:themeColor="background2" w:themeShade="80"/>
          <w:sz w:val="26"/>
          <w:szCs w:val="27"/>
        </w:rPr>
        <w:t>guión</w:t>
      </w:r>
      <w:proofErr w:type="spellEnd"/>
      <w:r w:rsidRPr="00E530BB">
        <w:rPr>
          <w:rFonts w:ascii="Calibri" w:hAnsi="Calibri"/>
          <w:bCs/>
          <w:color w:val="767171" w:themeColor="background2" w:themeShade="80"/>
          <w:sz w:val="26"/>
          <w:szCs w:val="27"/>
        </w:rPr>
        <w:t xml:space="preserve"> cero-cero-uno); así como el cobro del impuesto predial correspondiente al ejercicio fiscal 2017 dos mil diecisiete y las diferencias del impuesto predial, pagado en el año 2016 dos mil dieciséis, y sus recargos, contenidos en el recibo oficial número AA 6305058 (AA seis-tres-cero-cinco-cero-cinco-ocho) de fecha 18 dieciocho de enero del año pasado; atendiendo al principio de que lo accesorio sigue la suerte de lo principal. . . . . . . . . . . . . . . . . . . .</w:t>
      </w:r>
    </w:p>
    <w:p w:rsidR="00B7166D" w:rsidRDefault="00B7166D" w:rsidP="00B7166D">
      <w:pPr>
        <w:pStyle w:val="Textoindependiente"/>
        <w:rPr>
          <w:rFonts w:ascii="Calibri" w:hAnsi="Calibri" w:cs="Arial"/>
          <w:b/>
          <w:bCs/>
          <w:i/>
          <w:iCs/>
          <w:color w:val="AEAAAA" w:themeColor="background2" w:themeShade="BF"/>
          <w:sz w:val="22"/>
          <w:szCs w:val="26"/>
          <w:lang w:val="es-ES"/>
        </w:rPr>
      </w:pPr>
    </w:p>
    <w:p w:rsidR="00B7166D" w:rsidRPr="00E530BB" w:rsidRDefault="00B7166D" w:rsidP="00B7166D">
      <w:pPr>
        <w:pStyle w:val="Textoindependiente"/>
        <w:rPr>
          <w:rFonts w:ascii="Calibri" w:hAnsi="Calibri"/>
          <w:color w:val="767171" w:themeColor="background2" w:themeShade="80"/>
          <w:sz w:val="26"/>
        </w:rPr>
      </w:pPr>
      <w:r w:rsidRPr="00E530BB">
        <w:rPr>
          <w:rFonts w:ascii="Calibri" w:hAnsi="Calibri" w:cs="Arial"/>
          <w:b/>
          <w:bCs/>
          <w:i/>
          <w:iCs/>
          <w:color w:val="767171" w:themeColor="background2" w:themeShade="80"/>
          <w:sz w:val="22"/>
          <w:szCs w:val="26"/>
          <w:lang w:val="es-ES"/>
        </w:rPr>
        <w:tab/>
      </w:r>
      <w:r w:rsidRPr="00E530BB">
        <w:rPr>
          <w:rFonts w:ascii="Calibri" w:hAnsi="Calibri" w:cs="Arial"/>
          <w:b/>
          <w:bCs/>
          <w:iCs/>
          <w:color w:val="767171" w:themeColor="background2" w:themeShade="80"/>
          <w:sz w:val="26"/>
          <w:szCs w:val="26"/>
          <w:lang w:val="es-ES"/>
        </w:rPr>
        <w:t>En consecuencia</w:t>
      </w:r>
      <w:r w:rsidRPr="00E530BB">
        <w:rPr>
          <w:rFonts w:ascii="Calibri" w:hAnsi="Calibri" w:cs="Arial"/>
          <w:bCs/>
          <w:iCs/>
          <w:color w:val="767171" w:themeColor="background2" w:themeShade="80"/>
          <w:sz w:val="26"/>
          <w:szCs w:val="26"/>
          <w:lang w:val="es-ES"/>
        </w:rPr>
        <w:t xml:space="preserve">, </w:t>
      </w:r>
      <w:r w:rsidRPr="00E530BB">
        <w:rPr>
          <w:rFonts w:ascii="Calibri" w:hAnsi="Calibri"/>
          <w:color w:val="767171" w:themeColor="background2" w:themeShade="80"/>
          <w:sz w:val="26"/>
        </w:rPr>
        <w:t xml:space="preserve">la autoridad demandada, para la determinación de un crédito fiscal y requerimiento del mismo, </w:t>
      </w:r>
      <w:r w:rsidRPr="00E530BB">
        <w:rPr>
          <w:rFonts w:ascii="Calibri" w:hAnsi="Calibri"/>
          <w:b/>
          <w:color w:val="767171" w:themeColor="background2" w:themeShade="80"/>
          <w:sz w:val="26"/>
        </w:rPr>
        <w:t>deberá tomar</w:t>
      </w:r>
      <w:r w:rsidRPr="00E530BB">
        <w:rPr>
          <w:rFonts w:ascii="Calibri" w:hAnsi="Calibri"/>
          <w:color w:val="767171" w:themeColor="background2" w:themeShade="80"/>
          <w:sz w:val="26"/>
        </w:rPr>
        <w:t xml:space="preserve"> como valor del inmueble, -en tanto no se practique un avalúo siguiendo lo previsto en la Ley de Hacienda para los Municipios del Estado de Guanajuato-, el valor fiscal que sirvió para el pago del impuesto en el año 2016 dos mil dieciséis, esto es el de $1’282,516.14 (Un millón doscientos ochenta y dos mil quinientos dieciséis pesos 14/100 Moneda Nacional); por lo que deberán hacer los ajustes en sus archivos, expedientes y asientos, que resulten necesarios. . . . . . . . .</w:t>
      </w:r>
      <w:r>
        <w:rPr>
          <w:rFonts w:ascii="Calibri" w:hAnsi="Calibri"/>
          <w:color w:val="767171" w:themeColor="background2" w:themeShade="80"/>
          <w:sz w:val="26"/>
        </w:rPr>
        <w:t xml:space="preserve"> . . . . . . . . . . . . . . . . . . . . . . . . . . . . . . . . </w:t>
      </w:r>
      <w:r w:rsidRPr="00E530BB">
        <w:rPr>
          <w:rFonts w:ascii="Calibri" w:hAnsi="Calibri"/>
          <w:color w:val="767171" w:themeColor="background2" w:themeShade="80"/>
          <w:sz w:val="26"/>
        </w:rPr>
        <w:t xml:space="preserve"> </w:t>
      </w:r>
    </w:p>
    <w:p w:rsidR="00B7166D" w:rsidRDefault="00B7166D" w:rsidP="00B7166D">
      <w:pPr>
        <w:pStyle w:val="Textoindependiente"/>
        <w:rPr>
          <w:rFonts w:ascii="Calibri" w:hAnsi="Calibri"/>
          <w:color w:val="767171" w:themeColor="background2" w:themeShade="80"/>
          <w:sz w:val="22"/>
          <w:szCs w:val="26"/>
        </w:rPr>
      </w:pPr>
    </w:p>
    <w:p w:rsidR="00B7166D" w:rsidRDefault="00B7166D" w:rsidP="00B7166D">
      <w:pPr>
        <w:pStyle w:val="Textoindependiente"/>
        <w:rPr>
          <w:rFonts w:ascii="Calibri" w:hAnsi="Calibri"/>
          <w:color w:val="767171" w:themeColor="background2" w:themeShade="80"/>
          <w:sz w:val="26"/>
          <w:szCs w:val="26"/>
        </w:rPr>
      </w:pPr>
      <w:r w:rsidRPr="00E530BB">
        <w:rPr>
          <w:rFonts w:ascii="Calibri" w:hAnsi="Calibri"/>
          <w:color w:val="767171" w:themeColor="background2" w:themeShade="80"/>
          <w:sz w:val="26"/>
          <w:szCs w:val="26"/>
        </w:rPr>
        <w:tab/>
        <w:t xml:space="preserve">Por </w:t>
      </w:r>
      <w:r>
        <w:rPr>
          <w:rFonts w:ascii="Calibri" w:hAnsi="Calibri"/>
          <w:color w:val="767171" w:themeColor="background2" w:themeShade="80"/>
          <w:sz w:val="26"/>
          <w:szCs w:val="26"/>
        </w:rPr>
        <w:t>último, respec</w:t>
      </w:r>
      <w:r w:rsidRPr="00E530BB">
        <w:rPr>
          <w:rFonts w:ascii="Calibri" w:hAnsi="Calibri"/>
          <w:color w:val="767171" w:themeColor="background2" w:themeShade="80"/>
          <w:sz w:val="26"/>
          <w:szCs w:val="26"/>
        </w:rPr>
        <w:t>to de las excepciones</w:t>
      </w:r>
      <w:r>
        <w:rPr>
          <w:rFonts w:ascii="Calibri" w:hAnsi="Calibri"/>
          <w:color w:val="767171" w:themeColor="background2" w:themeShade="80"/>
          <w:sz w:val="26"/>
          <w:szCs w:val="26"/>
        </w:rPr>
        <w:t xml:space="preserve"> y defensas vertidas por la auto</w:t>
      </w:r>
      <w:r w:rsidRPr="00E530BB">
        <w:rPr>
          <w:rFonts w:ascii="Calibri" w:hAnsi="Calibri"/>
          <w:color w:val="767171" w:themeColor="background2" w:themeShade="80"/>
          <w:sz w:val="26"/>
          <w:szCs w:val="26"/>
        </w:rPr>
        <w:t xml:space="preserve">ridad demandada, </w:t>
      </w:r>
      <w:r>
        <w:rPr>
          <w:rFonts w:ascii="Calibri" w:hAnsi="Calibri"/>
          <w:color w:val="767171" w:themeColor="background2" w:themeShade="80"/>
          <w:sz w:val="26"/>
          <w:szCs w:val="26"/>
        </w:rPr>
        <w:t xml:space="preserve">se señala lo siguiente: . . . . . . . . . . . . . . . . . . . . . . . . . . . . . . . . . . . . . . . </w:t>
      </w:r>
    </w:p>
    <w:p w:rsidR="00B7166D" w:rsidRDefault="00B7166D" w:rsidP="00B7166D">
      <w:pPr>
        <w:pStyle w:val="Textoindependiente"/>
        <w:rPr>
          <w:rFonts w:ascii="Calibri" w:hAnsi="Calibri"/>
          <w:color w:val="767171" w:themeColor="background2" w:themeShade="80"/>
          <w:sz w:val="26"/>
          <w:szCs w:val="26"/>
        </w:rPr>
      </w:pPr>
    </w:p>
    <w:p w:rsidR="00B7166D" w:rsidRDefault="00B7166D" w:rsidP="00B7166D">
      <w:pPr>
        <w:pStyle w:val="Textoindependiente"/>
        <w:rPr>
          <w:rFonts w:ascii="Calibri" w:hAnsi="Calibri"/>
          <w:color w:val="767171" w:themeColor="background2" w:themeShade="80"/>
          <w:sz w:val="26"/>
          <w:szCs w:val="26"/>
        </w:rPr>
      </w:pPr>
      <w:r>
        <w:rPr>
          <w:rFonts w:ascii="Calibri" w:hAnsi="Calibri"/>
          <w:color w:val="767171" w:themeColor="background2" w:themeShade="80"/>
          <w:sz w:val="26"/>
          <w:szCs w:val="26"/>
        </w:rPr>
        <w:tab/>
        <w:t>a</w:t>
      </w:r>
      <w:proofErr w:type="gramStart"/>
      <w:r>
        <w:rPr>
          <w:rFonts w:ascii="Calibri" w:hAnsi="Calibri"/>
          <w:color w:val="767171" w:themeColor="background2" w:themeShade="80"/>
          <w:sz w:val="26"/>
          <w:szCs w:val="26"/>
        </w:rPr>
        <w:t>).-</w:t>
      </w:r>
      <w:proofErr w:type="gramEnd"/>
      <w:r>
        <w:rPr>
          <w:rFonts w:ascii="Calibri" w:hAnsi="Calibri"/>
          <w:color w:val="767171" w:themeColor="background2" w:themeShade="80"/>
          <w:sz w:val="26"/>
          <w:szCs w:val="26"/>
        </w:rPr>
        <w:t xml:space="preserve"> Respecto de la excepción de falta de interés jurídico; no opera la misma, tal y como se determinó al analizar dicha causal de improcedencia, en el Cuarto Considerando de la presente sentencia. . . . . . . . . . . . . . . . . . . . . . . . . . . . . . . . . . . . . </w:t>
      </w:r>
    </w:p>
    <w:p w:rsidR="00B7166D" w:rsidRDefault="00B7166D" w:rsidP="00B7166D">
      <w:pPr>
        <w:pStyle w:val="Textoindependiente"/>
        <w:rPr>
          <w:rFonts w:ascii="Calibri" w:hAnsi="Calibri"/>
          <w:color w:val="767171" w:themeColor="background2" w:themeShade="80"/>
          <w:sz w:val="26"/>
          <w:szCs w:val="26"/>
        </w:rPr>
      </w:pPr>
    </w:p>
    <w:p w:rsidR="00B7166D" w:rsidRPr="00421B77" w:rsidRDefault="00B7166D" w:rsidP="00B7166D">
      <w:pPr>
        <w:pStyle w:val="Textoindependiente"/>
        <w:ind w:firstLine="708"/>
        <w:rPr>
          <w:rFonts w:ascii="Calibri" w:hAnsi="Calibri"/>
          <w:color w:val="767171" w:themeColor="background2" w:themeShade="80"/>
          <w:sz w:val="26"/>
        </w:rPr>
      </w:pPr>
      <w:r>
        <w:rPr>
          <w:rFonts w:ascii="Calibri" w:hAnsi="Calibri" w:cs="Calibri"/>
          <w:color w:val="767171" w:themeColor="background2" w:themeShade="80"/>
          <w:sz w:val="26"/>
          <w:szCs w:val="26"/>
        </w:rPr>
        <w:t>b)</w:t>
      </w:r>
      <w:proofErr w:type="gramStart"/>
      <w:r w:rsidRPr="00421B77">
        <w:rPr>
          <w:rFonts w:ascii="Calibri" w:hAnsi="Calibri" w:cs="Calibri"/>
          <w:color w:val="767171" w:themeColor="background2" w:themeShade="80"/>
          <w:sz w:val="26"/>
          <w:szCs w:val="26"/>
        </w:rPr>
        <w:t>).-</w:t>
      </w:r>
      <w:proofErr w:type="gramEnd"/>
      <w:r w:rsidRPr="00421B77">
        <w:rPr>
          <w:rFonts w:ascii="Calibri" w:hAnsi="Calibri" w:cs="Calibri"/>
          <w:color w:val="767171" w:themeColor="background2" w:themeShade="80"/>
          <w:sz w:val="26"/>
          <w:szCs w:val="26"/>
        </w:rPr>
        <w:t xml:space="preserve"> Tocante a la</w:t>
      </w:r>
      <w:r>
        <w:rPr>
          <w:rFonts w:ascii="Calibri" w:hAnsi="Calibri" w:cs="Calibri"/>
          <w:color w:val="767171" w:themeColor="background2" w:themeShade="80"/>
          <w:sz w:val="26"/>
          <w:szCs w:val="26"/>
        </w:rPr>
        <w:t xml:space="preserve"> excepció</w:t>
      </w:r>
      <w:r w:rsidRPr="00421B77">
        <w:rPr>
          <w:rFonts w:ascii="Calibri" w:hAnsi="Calibri" w:cs="Calibri"/>
          <w:color w:val="767171" w:themeColor="background2" w:themeShade="80"/>
          <w:sz w:val="26"/>
          <w:szCs w:val="26"/>
        </w:rPr>
        <w:t xml:space="preserve">n de </w:t>
      </w:r>
      <w:r>
        <w:rPr>
          <w:rFonts w:ascii="Calibri" w:hAnsi="Calibri" w:cs="Calibri"/>
          <w:color w:val="767171" w:themeColor="background2" w:themeShade="80"/>
          <w:sz w:val="26"/>
          <w:szCs w:val="26"/>
        </w:rPr>
        <w:t xml:space="preserve">falta de derecho </w:t>
      </w:r>
      <w:r w:rsidRPr="00421B77">
        <w:rPr>
          <w:rFonts w:ascii="Calibri" w:hAnsi="Calibri" w:cs="Calibri"/>
          <w:color w:val="767171" w:themeColor="background2" w:themeShade="80"/>
          <w:sz w:val="26"/>
          <w:szCs w:val="26"/>
        </w:rPr>
        <w:t>no opera tal</w:t>
      </w:r>
      <w:r>
        <w:rPr>
          <w:rFonts w:ascii="Calibri" w:hAnsi="Calibri" w:cs="Calibri"/>
          <w:color w:val="767171" w:themeColor="background2" w:themeShade="80"/>
          <w:sz w:val="26"/>
          <w:szCs w:val="26"/>
        </w:rPr>
        <w:t xml:space="preserve"> excepció</w:t>
      </w:r>
      <w:r w:rsidRPr="00421B77">
        <w:rPr>
          <w:rFonts w:ascii="Calibri" w:hAnsi="Calibri" w:cs="Calibri"/>
          <w:color w:val="767171" w:themeColor="background2" w:themeShade="80"/>
          <w:sz w:val="26"/>
          <w:szCs w:val="26"/>
        </w:rPr>
        <w:t xml:space="preserve">n, toda vez que </w:t>
      </w:r>
      <w:r>
        <w:rPr>
          <w:rFonts w:ascii="Calibri" w:hAnsi="Calibri" w:cs="Calibri"/>
          <w:color w:val="767171" w:themeColor="background2" w:themeShade="80"/>
          <w:sz w:val="26"/>
          <w:szCs w:val="26"/>
        </w:rPr>
        <w:t xml:space="preserve">la resolución impugnada no se encuentra debidamente fundada y motivada y se emitió en contravención al texto expreso de la ley, </w:t>
      </w:r>
      <w:r w:rsidRPr="00421B77">
        <w:rPr>
          <w:rFonts w:ascii="Calibri" w:hAnsi="Calibri" w:cs="Calibri"/>
          <w:color w:val="767171" w:themeColor="background2" w:themeShade="80"/>
          <w:sz w:val="26"/>
          <w:szCs w:val="26"/>
        </w:rPr>
        <w:t xml:space="preserve">y por ende, procedió decretar su nulidad total, tal y como se expresó en el presente Considerando. </w:t>
      </w:r>
      <w:r w:rsidRPr="00421B77">
        <w:rPr>
          <w:rFonts w:ascii="Calibri" w:hAnsi="Calibri"/>
          <w:color w:val="767171" w:themeColor="background2" w:themeShade="80"/>
          <w:sz w:val="26"/>
        </w:rPr>
        <w:t>. . . . . . . . . . . . . . . . . . . . . . . . .</w:t>
      </w:r>
      <w:r>
        <w:rPr>
          <w:rFonts w:ascii="Calibri" w:hAnsi="Calibri"/>
          <w:color w:val="767171" w:themeColor="background2" w:themeShade="80"/>
          <w:sz w:val="26"/>
        </w:rPr>
        <w:t xml:space="preserve"> . . . . . . . . . . . . . . . . . . . . . . . . . . . . . . . .</w:t>
      </w:r>
    </w:p>
    <w:p w:rsidR="00B7166D" w:rsidRPr="007A5CF0" w:rsidRDefault="00B7166D" w:rsidP="00B7166D">
      <w:pPr>
        <w:pStyle w:val="Textoindependiente"/>
        <w:rPr>
          <w:rFonts w:ascii="Calibri" w:hAnsi="Calibri"/>
          <w:color w:val="767171" w:themeColor="background2" w:themeShade="80"/>
          <w:sz w:val="22"/>
          <w:szCs w:val="26"/>
          <w:lang w:val="es-ES"/>
        </w:rPr>
      </w:pPr>
    </w:p>
    <w:p w:rsidR="00B7166D" w:rsidRPr="00E530BB" w:rsidRDefault="00B7166D" w:rsidP="00B7166D">
      <w:pPr>
        <w:ind w:firstLine="708"/>
        <w:jc w:val="both"/>
        <w:rPr>
          <w:rFonts w:ascii="Calibri" w:hAnsi="Calibri" w:cs="Calibri"/>
          <w:color w:val="767171" w:themeColor="background2" w:themeShade="80"/>
          <w:sz w:val="26"/>
          <w:szCs w:val="26"/>
        </w:rPr>
      </w:pPr>
      <w:proofErr w:type="gramStart"/>
      <w:r w:rsidRPr="00E530BB">
        <w:rPr>
          <w:rFonts w:ascii="Calibri" w:hAnsi="Calibri"/>
          <w:b/>
          <w:bCs/>
          <w:i/>
          <w:iCs/>
          <w:color w:val="767171" w:themeColor="background2" w:themeShade="80"/>
          <w:sz w:val="26"/>
          <w:szCs w:val="26"/>
        </w:rPr>
        <w:t>SÉPTIMO.-</w:t>
      </w:r>
      <w:proofErr w:type="gramEnd"/>
      <w:r w:rsidRPr="00E530BB">
        <w:rPr>
          <w:rFonts w:ascii="Calibri" w:hAnsi="Calibri"/>
          <w:b/>
          <w:bCs/>
          <w:i/>
          <w:iCs/>
          <w:color w:val="767171" w:themeColor="background2" w:themeShade="80"/>
          <w:sz w:val="26"/>
          <w:szCs w:val="26"/>
        </w:rPr>
        <w:t xml:space="preserve"> </w:t>
      </w:r>
      <w:r w:rsidRPr="00E530BB">
        <w:rPr>
          <w:rFonts w:ascii="Calibri" w:hAnsi="Calibri" w:cs="Arial"/>
          <w:color w:val="767171" w:themeColor="background2" w:themeShade="80"/>
          <w:sz w:val="26"/>
          <w:szCs w:val="26"/>
        </w:rPr>
        <w:t xml:space="preserve">En virtud de que el primer concepto de impugnación analizado, resultó fundado y es suficiente para decretar la nulidad total de los actos impugnados; resulta innecesario el estudio de los restantes, ya que ello no cambiaría, ni afectaría el sentido de esta resolución. . . . . . . . . . . . . . . . . . . . . . . . . . </w:t>
      </w:r>
    </w:p>
    <w:p w:rsidR="00B7166D" w:rsidRPr="00E530BB" w:rsidRDefault="00B7166D" w:rsidP="00B7166D">
      <w:pPr>
        <w:pStyle w:val="Textoindependiente"/>
        <w:rPr>
          <w:rFonts w:ascii="Calibri" w:hAnsi="Calibri"/>
          <w:b/>
          <w:bCs/>
          <w:i/>
          <w:iCs/>
          <w:color w:val="767171" w:themeColor="background2" w:themeShade="80"/>
          <w:sz w:val="26"/>
          <w:szCs w:val="26"/>
          <w:lang w:val="es-ES"/>
        </w:rPr>
      </w:pPr>
    </w:p>
    <w:p w:rsidR="00B7166D" w:rsidRPr="00E530BB" w:rsidRDefault="00B7166D" w:rsidP="00B7166D">
      <w:pPr>
        <w:pStyle w:val="Textoindependiente"/>
        <w:ind w:firstLine="708"/>
        <w:rPr>
          <w:rFonts w:ascii="Calibri" w:hAnsi="Calibri" w:cs="Arial"/>
          <w:color w:val="767171" w:themeColor="background2" w:themeShade="80"/>
          <w:sz w:val="26"/>
          <w:szCs w:val="27"/>
        </w:rPr>
      </w:pPr>
      <w:r w:rsidRPr="00E530BB">
        <w:rPr>
          <w:rFonts w:ascii="Calibri" w:hAnsi="Calibri" w:cs="Arial"/>
          <w:color w:val="767171" w:themeColor="background2" w:themeShade="80"/>
          <w:sz w:val="26"/>
          <w:szCs w:val="27"/>
        </w:rPr>
        <w:t xml:space="preserve">Sirve de apoyo a lo anterior la tesis de jurisprudencia que a la letra señala: </w:t>
      </w:r>
    </w:p>
    <w:p w:rsidR="00B7166D" w:rsidRPr="00E530BB" w:rsidRDefault="00B7166D" w:rsidP="00B7166D">
      <w:pPr>
        <w:pStyle w:val="Textoindependiente"/>
        <w:ind w:firstLine="708"/>
        <w:rPr>
          <w:rFonts w:ascii="Calibri" w:hAnsi="Calibri" w:cs="Arial"/>
          <w:color w:val="767171" w:themeColor="background2" w:themeShade="80"/>
          <w:sz w:val="20"/>
          <w:szCs w:val="27"/>
        </w:rPr>
      </w:pPr>
    </w:p>
    <w:p w:rsidR="00B7166D" w:rsidRPr="00FF6730" w:rsidRDefault="00B7166D" w:rsidP="00B7166D">
      <w:pPr>
        <w:pStyle w:val="Textoindependiente"/>
        <w:ind w:firstLine="708"/>
        <w:jc w:val="right"/>
        <w:rPr>
          <w:rFonts w:ascii="Calibri" w:hAnsi="Calibri" w:cs="Arial"/>
          <w:b/>
          <w:color w:val="767171" w:themeColor="background2" w:themeShade="80"/>
          <w:sz w:val="26"/>
          <w:szCs w:val="27"/>
        </w:rPr>
      </w:pPr>
      <w:r w:rsidRPr="00FF6730">
        <w:rPr>
          <w:rFonts w:ascii="Calibri" w:hAnsi="Calibri" w:cs="Arial"/>
          <w:b/>
          <w:color w:val="767171" w:themeColor="background2" w:themeShade="80"/>
          <w:sz w:val="26"/>
          <w:szCs w:val="27"/>
        </w:rPr>
        <w:t>Expediente número 0078/2do JAM/2017-JN</w:t>
      </w:r>
    </w:p>
    <w:p w:rsidR="00B7166D" w:rsidRPr="00FF6730" w:rsidRDefault="00B7166D" w:rsidP="00B7166D">
      <w:pPr>
        <w:pStyle w:val="Textoindependiente"/>
        <w:rPr>
          <w:rFonts w:ascii="Calibri" w:hAnsi="Calibri"/>
          <w:b/>
          <w:bCs/>
          <w:i/>
          <w:iCs/>
          <w:color w:val="767171" w:themeColor="background2" w:themeShade="80"/>
          <w:sz w:val="26"/>
          <w:szCs w:val="27"/>
        </w:rPr>
      </w:pPr>
    </w:p>
    <w:p w:rsidR="00B7166D" w:rsidRPr="00FF6730" w:rsidRDefault="00B7166D" w:rsidP="00B7166D">
      <w:pPr>
        <w:pStyle w:val="Textoindependiente"/>
        <w:ind w:firstLine="708"/>
        <w:rPr>
          <w:rFonts w:ascii="Calibri" w:hAnsi="Calibri"/>
          <w:b/>
          <w:bCs/>
          <w:i/>
          <w:iCs/>
          <w:color w:val="767171" w:themeColor="background2" w:themeShade="80"/>
          <w:sz w:val="26"/>
          <w:szCs w:val="26"/>
          <w:lang w:val="es-ES"/>
        </w:rPr>
      </w:pPr>
      <w:r w:rsidRPr="00FF6730">
        <w:rPr>
          <w:rFonts w:ascii="Calibri" w:hAnsi="Calibri"/>
          <w:b/>
          <w:bCs/>
          <w:i/>
          <w:iCs/>
          <w:color w:val="767171" w:themeColor="background2" w:themeShade="80"/>
          <w:sz w:val="26"/>
          <w:szCs w:val="27"/>
        </w:rPr>
        <w:t xml:space="preserve">“CONCEPTOS DE VIOLACION. CUANDO SU ESTUDIO ES INNECESARIO. </w:t>
      </w:r>
      <w:r w:rsidRPr="00FF6730">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F6730">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FF6730">
        <w:rPr>
          <w:rFonts w:ascii="Calibri" w:hAnsi="Calibri"/>
          <w:color w:val="767171" w:themeColor="background2" w:themeShade="80"/>
          <w:sz w:val="22"/>
          <w:szCs w:val="22"/>
        </w:rPr>
        <w:t xml:space="preserve">Fuente: Semanario Judicial de la Federación. I, </w:t>
      </w:r>
      <w:proofErr w:type="gramStart"/>
      <w:r w:rsidRPr="00FF6730">
        <w:rPr>
          <w:rFonts w:ascii="Calibri" w:hAnsi="Calibri"/>
          <w:color w:val="767171" w:themeColor="background2" w:themeShade="80"/>
          <w:sz w:val="22"/>
          <w:szCs w:val="22"/>
        </w:rPr>
        <w:t>Abril</w:t>
      </w:r>
      <w:proofErr w:type="gramEnd"/>
      <w:r w:rsidRPr="00FF6730">
        <w:rPr>
          <w:rFonts w:ascii="Calibri" w:hAnsi="Calibri"/>
          <w:color w:val="767171" w:themeColor="background2" w:themeShade="80"/>
          <w:sz w:val="22"/>
          <w:szCs w:val="22"/>
        </w:rPr>
        <w:t xml:space="preserve"> de 1991. Tesis: V.2o. J/7. Página: 86. Genealogía: Gaceta número 40, Abril de 1991, página 125</w:t>
      </w:r>
      <w:r w:rsidRPr="00FF6730">
        <w:rPr>
          <w:rFonts w:ascii="Calibri" w:hAnsi="Calibri"/>
          <w:color w:val="767171" w:themeColor="background2" w:themeShade="80"/>
          <w:sz w:val="26"/>
          <w:szCs w:val="26"/>
        </w:rPr>
        <w:t xml:space="preserve">. . . . . . . . . . . . . . . . . . . . . . . . . . . . . . . . . </w:t>
      </w:r>
      <w:proofErr w:type="gramStart"/>
      <w:r w:rsidRPr="00FF6730">
        <w:rPr>
          <w:rFonts w:ascii="Calibri" w:hAnsi="Calibri"/>
          <w:color w:val="767171" w:themeColor="background2" w:themeShade="80"/>
          <w:sz w:val="26"/>
          <w:szCs w:val="26"/>
        </w:rPr>
        <w:t>. . . .</w:t>
      </w:r>
      <w:proofErr w:type="gramEnd"/>
    </w:p>
    <w:p w:rsidR="00B7166D" w:rsidRPr="00FF6730" w:rsidRDefault="00B7166D" w:rsidP="00B7166D">
      <w:pPr>
        <w:pStyle w:val="Textoindependiente"/>
        <w:rPr>
          <w:rFonts w:ascii="Calibri" w:hAnsi="Calibri"/>
          <w:color w:val="767171" w:themeColor="background2" w:themeShade="80"/>
          <w:sz w:val="22"/>
          <w:szCs w:val="26"/>
        </w:rPr>
      </w:pPr>
    </w:p>
    <w:p w:rsidR="00B7166D" w:rsidRPr="00FF6730" w:rsidRDefault="00B7166D" w:rsidP="00B7166D">
      <w:pPr>
        <w:pStyle w:val="Textoindependiente"/>
        <w:rPr>
          <w:rFonts w:ascii="Calibri" w:hAnsi="Calibri"/>
          <w:b/>
          <w:i/>
          <w:color w:val="767171" w:themeColor="background2" w:themeShade="80"/>
          <w:sz w:val="26"/>
          <w:szCs w:val="26"/>
        </w:rPr>
      </w:pPr>
      <w:r w:rsidRPr="00FF6730">
        <w:rPr>
          <w:rFonts w:ascii="Calibri" w:hAnsi="Calibri"/>
          <w:color w:val="767171" w:themeColor="background2" w:themeShade="80"/>
          <w:sz w:val="22"/>
          <w:szCs w:val="26"/>
        </w:rPr>
        <w:tab/>
      </w:r>
      <w:proofErr w:type="gramStart"/>
      <w:r w:rsidRPr="00FF6730">
        <w:rPr>
          <w:rFonts w:ascii="Calibri" w:hAnsi="Calibri"/>
          <w:b/>
          <w:i/>
          <w:color w:val="767171" w:themeColor="background2" w:themeShade="80"/>
          <w:sz w:val="26"/>
          <w:szCs w:val="26"/>
        </w:rPr>
        <w:t>OCTAVO.-</w:t>
      </w:r>
      <w:proofErr w:type="gramEnd"/>
      <w:r w:rsidRPr="00FF6730">
        <w:rPr>
          <w:rFonts w:ascii="Calibri" w:hAnsi="Calibri"/>
          <w:b/>
          <w:i/>
          <w:color w:val="767171" w:themeColor="background2" w:themeShade="80"/>
          <w:sz w:val="26"/>
          <w:szCs w:val="26"/>
        </w:rPr>
        <w:t xml:space="preserve"> </w:t>
      </w:r>
      <w:r w:rsidRPr="00FF6730">
        <w:rPr>
          <w:rFonts w:ascii="Calibri" w:hAnsi="Calibri"/>
          <w:color w:val="767171" w:themeColor="background2" w:themeShade="80"/>
          <w:sz w:val="26"/>
          <w:szCs w:val="26"/>
        </w:rPr>
        <w:t xml:space="preserve">De lo solicitado por la parte actora se encuentra también lo referente a </w:t>
      </w:r>
      <w:r w:rsidRPr="00FF6730">
        <w:rPr>
          <w:rFonts w:ascii="Calibri" w:hAnsi="Calibri"/>
          <w:color w:val="767171" w:themeColor="background2" w:themeShade="80"/>
          <w:sz w:val="26"/>
          <w:szCs w:val="27"/>
        </w:rPr>
        <w:t xml:space="preserve">la condena a la autoridad demandada para la devolución del importe pagado por concepto de impuesto del ejercicio fiscal del año 2017 diecisiete y diferencias del 2016 dos mil dieciséis. . . . . . . . . . . . . . . . . . . . . . . . . . . . . . . . . . . . . .  </w:t>
      </w:r>
    </w:p>
    <w:p w:rsidR="00B7166D" w:rsidRDefault="00B7166D" w:rsidP="00B7166D">
      <w:pPr>
        <w:pStyle w:val="Textoindependiente"/>
        <w:rPr>
          <w:rFonts w:ascii="Calibri" w:hAnsi="Calibri"/>
          <w:color w:val="AEAAAA" w:themeColor="background2" w:themeShade="BF"/>
          <w:sz w:val="22"/>
          <w:szCs w:val="26"/>
        </w:rPr>
      </w:pPr>
    </w:p>
    <w:p w:rsidR="00B7166D" w:rsidRPr="00FF6730" w:rsidRDefault="00B7166D" w:rsidP="00B7166D">
      <w:pPr>
        <w:ind w:firstLine="708"/>
        <w:jc w:val="both"/>
        <w:rPr>
          <w:rFonts w:ascii="Calibri" w:hAnsi="Calibri"/>
          <w:color w:val="767171" w:themeColor="background2" w:themeShade="80"/>
          <w:sz w:val="26"/>
          <w:szCs w:val="27"/>
        </w:rPr>
      </w:pPr>
      <w:r w:rsidRPr="00FF6730">
        <w:rPr>
          <w:rFonts w:ascii="Calibri" w:hAnsi="Calibri"/>
          <w:color w:val="767171" w:themeColor="background2" w:themeShade="80"/>
          <w:sz w:val="26"/>
          <w:szCs w:val="26"/>
        </w:rPr>
        <w:t xml:space="preserve">Pretensión que resulta procedente, toda vez que al decretarse la nulidad total de los actos impugnados, procede la devolución del monto pagado en exceso, por concepto de impuesto predial del año 2017 dos mil diecisiete; para lo cual deberá hacerse el cálculo y la determinación del crédito fiscal debidamente fundado y motivado, tomando en cuenta el valor fiscal del inmueble del año anterior y realizando la compensación respectiva; así como la devolución de los impuestos omitidos del año 2016 dos mil dieciséis y recargos de impuestos omitidos también de ese año; valor fiscal e importes contenidos en el recibo oficial de pago número </w:t>
      </w:r>
      <w:r w:rsidRPr="00FF6730">
        <w:rPr>
          <w:rFonts w:ascii="Calibri" w:hAnsi="Calibri"/>
          <w:bCs/>
          <w:color w:val="767171" w:themeColor="background2" w:themeShade="80"/>
          <w:sz w:val="26"/>
          <w:szCs w:val="27"/>
        </w:rPr>
        <w:t xml:space="preserve">AA 6305058 (AA seis-tres-cero-cinco-cero-cinco-ocho) de fecha 18 dieciocho de enero del año próximo pasado. </w:t>
      </w:r>
      <w:r w:rsidRPr="00FF6730">
        <w:rPr>
          <w:rFonts w:ascii="Calibri" w:hAnsi="Calibri"/>
          <w:color w:val="767171" w:themeColor="background2" w:themeShade="80"/>
          <w:sz w:val="26"/>
          <w:szCs w:val="27"/>
        </w:rPr>
        <w:t xml:space="preserve">. . . . . . . . . . . . . . . . . . . . . . . . . . . . . </w:t>
      </w:r>
    </w:p>
    <w:p w:rsidR="00B7166D" w:rsidRPr="003E19FC" w:rsidRDefault="00B7166D" w:rsidP="00B7166D">
      <w:pPr>
        <w:pStyle w:val="Textoindependiente"/>
        <w:jc w:val="left"/>
        <w:rPr>
          <w:rFonts w:ascii="Calibri" w:hAnsi="Calibri"/>
          <w:bCs/>
          <w:color w:val="767171" w:themeColor="background2" w:themeShade="80"/>
          <w:sz w:val="26"/>
          <w:szCs w:val="27"/>
          <w:lang w:val="es-ES"/>
        </w:rPr>
      </w:pPr>
    </w:p>
    <w:p w:rsidR="00B7166D" w:rsidRPr="00986EFF" w:rsidRDefault="00B7166D" w:rsidP="00B7166D">
      <w:pPr>
        <w:pStyle w:val="Textoindependiente"/>
        <w:ind w:firstLine="708"/>
        <w:rPr>
          <w:rFonts w:asciiTheme="minorHAnsi" w:hAnsiTheme="minorHAnsi"/>
          <w:color w:val="767171" w:themeColor="background2" w:themeShade="80"/>
          <w:sz w:val="26"/>
        </w:rPr>
      </w:pPr>
      <w:r w:rsidRPr="00986EFF">
        <w:rPr>
          <w:rFonts w:asciiTheme="minorHAnsi" w:hAnsiTheme="minorHAnsi"/>
          <w:color w:val="767171" w:themeColor="background2" w:themeShade="80"/>
          <w:sz w:val="26"/>
        </w:rPr>
        <w:t xml:space="preserve">Lo que se deberá realizar dentro de los 15 quince días siguientes a que cause ejecutoria la presente resolución, debiendo informar a este Juzgado, el cumplimiento que se dé a este resolutivo, acompañando las constancias que así lo acrediten. . . . . . . . . . . . . . . . . . . . . . . . . . . . . . . . . . . . . . . . . . . . . . . . . . . . . . . . . </w:t>
      </w:r>
      <w:proofErr w:type="gramStart"/>
      <w:r w:rsidRPr="00986EFF">
        <w:rPr>
          <w:rFonts w:asciiTheme="minorHAnsi" w:hAnsiTheme="minorHAnsi"/>
          <w:color w:val="767171" w:themeColor="background2" w:themeShade="80"/>
          <w:sz w:val="26"/>
        </w:rPr>
        <w:t xml:space="preserve">. . </w:t>
      </w:r>
      <w:r>
        <w:rPr>
          <w:rFonts w:asciiTheme="minorHAnsi" w:hAnsiTheme="minorHAnsi"/>
          <w:color w:val="767171" w:themeColor="background2" w:themeShade="80"/>
          <w:sz w:val="26"/>
        </w:rPr>
        <w:t>. .</w:t>
      </w:r>
      <w:proofErr w:type="gramEnd"/>
      <w:r>
        <w:rPr>
          <w:rFonts w:asciiTheme="minorHAnsi" w:hAnsiTheme="minorHAnsi"/>
          <w:color w:val="767171" w:themeColor="background2" w:themeShade="80"/>
          <w:sz w:val="26"/>
        </w:rPr>
        <w:t xml:space="preserve"> </w:t>
      </w:r>
    </w:p>
    <w:p w:rsidR="00B7166D" w:rsidRPr="00986EFF" w:rsidRDefault="00B7166D" w:rsidP="00B7166D">
      <w:pPr>
        <w:pStyle w:val="Textoindependiente"/>
        <w:rPr>
          <w:rFonts w:ascii="Calibri" w:hAnsi="Calibri"/>
          <w:color w:val="767171" w:themeColor="background2" w:themeShade="80"/>
          <w:sz w:val="22"/>
          <w:szCs w:val="26"/>
        </w:rPr>
      </w:pPr>
    </w:p>
    <w:p w:rsidR="00B7166D" w:rsidRPr="00986EFF" w:rsidRDefault="00B7166D" w:rsidP="00B7166D">
      <w:pPr>
        <w:pStyle w:val="Textoindependiente"/>
        <w:ind w:firstLine="708"/>
        <w:rPr>
          <w:rFonts w:ascii="Calibri" w:hAnsi="Calibri" w:cs="Arial"/>
          <w:color w:val="767171" w:themeColor="background2" w:themeShade="80"/>
          <w:sz w:val="26"/>
          <w:szCs w:val="26"/>
        </w:rPr>
      </w:pPr>
      <w:r w:rsidRPr="00986EFF">
        <w:rPr>
          <w:rFonts w:ascii="Calibri" w:hAnsi="Calibri" w:cs="Arial"/>
          <w:color w:val="767171" w:themeColor="background2" w:themeShade="80"/>
          <w:sz w:val="26"/>
          <w:szCs w:val="26"/>
        </w:rPr>
        <w:t xml:space="preserve">Por lo anteriormente expuesto, y con fundamento además en lo dispuesto en los artículos 249, 287, 298, 299, 300, fracción II; y, 302, </w:t>
      </w:r>
      <w:proofErr w:type="gramStart"/>
      <w:r w:rsidRPr="00986EFF">
        <w:rPr>
          <w:rFonts w:ascii="Calibri" w:hAnsi="Calibri" w:cs="Arial"/>
          <w:color w:val="767171" w:themeColor="background2" w:themeShade="80"/>
          <w:sz w:val="26"/>
          <w:szCs w:val="26"/>
        </w:rPr>
        <w:t>fracción  II</w:t>
      </w:r>
      <w:proofErr w:type="gramEnd"/>
      <w:r w:rsidRPr="00986EFF">
        <w:rPr>
          <w:rFonts w:ascii="Calibri" w:hAnsi="Calibri" w:cs="Arial"/>
          <w:color w:val="767171" w:themeColor="background2" w:themeShade="80"/>
          <w:sz w:val="26"/>
          <w:szCs w:val="26"/>
        </w:rPr>
        <w:t xml:space="preserve">, del </w:t>
      </w:r>
      <w:r w:rsidRPr="00986EFF">
        <w:rPr>
          <w:rFonts w:ascii="Calibri" w:hAnsi="Calibri"/>
          <w:color w:val="767171" w:themeColor="background2" w:themeShade="80"/>
          <w:sz w:val="26"/>
          <w:szCs w:val="26"/>
        </w:rPr>
        <w:t>Código de Procedimiento y Justicia Administrativa para el Estado y los Municipios de Guanajuato,</w:t>
      </w:r>
      <w:r w:rsidRPr="00986EFF">
        <w:rPr>
          <w:rFonts w:ascii="Calibri" w:hAnsi="Calibri" w:cs="Arial"/>
          <w:color w:val="767171" w:themeColor="background2" w:themeShade="80"/>
          <w:sz w:val="26"/>
          <w:szCs w:val="26"/>
        </w:rPr>
        <w:t xml:space="preserve"> es de resolverse y se. </w:t>
      </w:r>
      <w:r w:rsidRPr="00986EFF">
        <w:rPr>
          <w:rFonts w:ascii="Calibri" w:hAnsi="Calibri"/>
          <w:color w:val="767171" w:themeColor="background2" w:themeShade="80"/>
          <w:sz w:val="26"/>
          <w:szCs w:val="26"/>
        </w:rPr>
        <w:t xml:space="preserve">. </w:t>
      </w:r>
      <w:r w:rsidRPr="00986EFF">
        <w:rPr>
          <w:rFonts w:ascii="Calibri" w:hAnsi="Calibri" w:cs="Arial"/>
          <w:color w:val="767171" w:themeColor="background2" w:themeShade="80"/>
          <w:sz w:val="26"/>
          <w:szCs w:val="26"/>
        </w:rPr>
        <w:t xml:space="preserve">. . . . . . . . . . . . . . . . . . . . . . . . . . . . . . . . . . . . . . . </w:t>
      </w:r>
    </w:p>
    <w:p w:rsidR="00B7166D" w:rsidRPr="00986EFF" w:rsidRDefault="00B7166D" w:rsidP="00B7166D">
      <w:pPr>
        <w:pStyle w:val="Textoindependiente"/>
        <w:ind w:firstLine="708"/>
        <w:rPr>
          <w:rFonts w:ascii="Calibri" w:hAnsi="Calibri" w:cs="Arial"/>
          <w:color w:val="767171" w:themeColor="background2" w:themeShade="80"/>
          <w:sz w:val="20"/>
          <w:szCs w:val="20"/>
        </w:rPr>
      </w:pPr>
    </w:p>
    <w:p w:rsidR="00B7166D" w:rsidRPr="00986EFF" w:rsidRDefault="00B7166D" w:rsidP="00B7166D">
      <w:pPr>
        <w:pStyle w:val="Textoindependiente"/>
        <w:jc w:val="center"/>
        <w:rPr>
          <w:rFonts w:ascii="Calibri" w:hAnsi="Calibri" w:cs="Arial"/>
          <w:i/>
          <w:iCs/>
          <w:color w:val="767171" w:themeColor="background2" w:themeShade="80"/>
          <w:sz w:val="26"/>
          <w:szCs w:val="26"/>
        </w:rPr>
      </w:pPr>
      <w:r w:rsidRPr="00986EFF">
        <w:rPr>
          <w:rFonts w:ascii="Calibri" w:hAnsi="Calibri" w:cs="Arial"/>
          <w:b/>
          <w:i/>
          <w:iCs/>
          <w:color w:val="767171" w:themeColor="background2" w:themeShade="80"/>
          <w:sz w:val="26"/>
          <w:szCs w:val="26"/>
        </w:rPr>
        <w:t xml:space="preserve">R E S U E L V </w:t>
      </w:r>
      <w:proofErr w:type="gramStart"/>
      <w:r w:rsidRPr="00986EFF">
        <w:rPr>
          <w:rFonts w:ascii="Calibri" w:hAnsi="Calibri" w:cs="Arial"/>
          <w:b/>
          <w:i/>
          <w:iCs/>
          <w:color w:val="767171" w:themeColor="background2" w:themeShade="80"/>
          <w:sz w:val="26"/>
          <w:szCs w:val="26"/>
        </w:rPr>
        <w:t xml:space="preserve">E </w:t>
      </w:r>
      <w:r w:rsidRPr="00986EFF">
        <w:rPr>
          <w:rFonts w:ascii="Calibri" w:hAnsi="Calibri" w:cs="Arial"/>
          <w:i/>
          <w:iCs/>
          <w:color w:val="767171" w:themeColor="background2" w:themeShade="80"/>
          <w:sz w:val="26"/>
          <w:szCs w:val="26"/>
        </w:rPr>
        <w:t>:</w:t>
      </w:r>
      <w:proofErr w:type="gramEnd"/>
    </w:p>
    <w:p w:rsidR="00B7166D" w:rsidRPr="00986EFF" w:rsidRDefault="00B7166D" w:rsidP="00B7166D">
      <w:pPr>
        <w:pStyle w:val="Textoindependiente"/>
        <w:rPr>
          <w:rFonts w:ascii="Calibri" w:hAnsi="Calibri" w:cs="Arial"/>
          <w:b/>
          <w:bCs/>
          <w:i/>
          <w:iCs/>
          <w:color w:val="767171" w:themeColor="background2" w:themeShade="80"/>
          <w:sz w:val="20"/>
          <w:szCs w:val="20"/>
        </w:rPr>
      </w:pPr>
    </w:p>
    <w:p w:rsidR="00B7166D" w:rsidRPr="00986EFF" w:rsidRDefault="00B7166D" w:rsidP="00B7166D">
      <w:pPr>
        <w:pStyle w:val="Textoindependiente"/>
        <w:ind w:firstLine="708"/>
        <w:rPr>
          <w:rFonts w:ascii="Calibri" w:hAnsi="Calibri" w:cs="Arial"/>
          <w:color w:val="767171" w:themeColor="background2" w:themeShade="80"/>
          <w:sz w:val="26"/>
          <w:szCs w:val="26"/>
        </w:rPr>
      </w:pPr>
      <w:proofErr w:type="gramStart"/>
      <w:r w:rsidRPr="00986EFF">
        <w:rPr>
          <w:rFonts w:ascii="Calibri" w:hAnsi="Calibri" w:cs="Arial"/>
          <w:b/>
          <w:bCs/>
          <w:i/>
          <w:iCs/>
          <w:color w:val="767171" w:themeColor="background2" w:themeShade="80"/>
          <w:sz w:val="26"/>
          <w:szCs w:val="26"/>
        </w:rPr>
        <w:t>PRIMERO</w:t>
      </w:r>
      <w:r w:rsidRPr="00986EFF">
        <w:rPr>
          <w:rFonts w:ascii="Calibri" w:hAnsi="Calibri" w:cs="Arial"/>
          <w:color w:val="767171" w:themeColor="background2" w:themeShade="80"/>
          <w:sz w:val="26"/>
          <w:szCs w:val="26"/>
        </w:rPr>
        <w:t>.-</w:t>
      </w:r>
      <w:proofErr w:type="gramEnd"/>
      <w:r w:rsidRPr="00986EFF">
        <w:rPr>
          <w:rFonts w:ascii="Calibri" w:hAnsi="Calibri" w:cs="Arial"/>
          <w:color w:val="767171" w:themeColor="background2" w:themeShade="80"/>
          <w:sz w:val="26"/>
          <w:szCs w:val="26"/>
        </w:rPr>
        <w:t xml:space="preserve"> Este Juzgado Segundo Administrativo Municipal es </w:t>
      </w:r>
      <w:r w:rsidRPr="00986EFF">
        <w:rPr>
          <w:rFonts w:ascii="Calibri" w:hAnsi="Calibri" w:cs="Arial"/>
          <w:b/>
          <w:color w:val="767171" w:themeColor="background2" w:themeShade="80"/>
          <w:sz w:val="26"/>
          <w:szCs w:val="26"/>
        </w:rPr>
        <w:t>competente</w:t>
      </w:r>
      <w:r w:rsidRPr="00986EFF">
        <w:rPr>
          <w:rFonts w:ascii="Calibri" w:hAnsi="Calibri" w:cs="Arial"/>
          <w:color w:val="767171" w:themeColor="background2" w:themeShade="80"/>
          <w:sz w:val="26"/>
          <w:szCs w:val="26"/>
        </w:rPr>
        <w:t xml:space="preserve"> para conocer y resolver del presente proceso administrativo. . . . . . . . . . . . . . . . . . </w:t>
      </w:r>
    </w:p>
    <w:p w:rsidR="00B7166D" w:rsidRPr="00986EFF" w:rsidRDefault="00B7166D" w:rsidP="00B7166D">
      <w:pPr>
        <w:pStyle w:val="Textoindependiente"/>
        <w:rPr>
          <w:rFonts w:ascii="Calibri" w:hAnsi="Calibri" w:cs="Arial"/>
          <w:color w:val="767171" w:themeColor="background2" w:themeShade="80"/>
          <w:sz w:val="22"/>
          <w:szCs w:val="26"/>
        </w:rPr>
      </w:pPr>
    </w:p>
    <w:p w:rsidR="00B7166D" w:rsidRPr="00986EFF" w:rsidRDefault="00B7166D" w:rsidP="00B7166D">
      <w:pPr>
        <w:ind w:firstLine="708"/>
        <w:jc w:val="both"/>
        <w:rPr>
          <w:rFonts w:ascii="Calibri" w:hAnsi="Calibri" w:cs="Arial"/>
          <w:color w:val="767171" w:themeColor="background2" w:themeShade="80"/>
          <w:sz w:val="26"/>
          <w:szCs w:val="26"/>
        </w:rPr>
      </w:pPr>
      <w:proofErr w:type="gramStart"/>
      <w:r w:rsidRPr="00986EFF">
        <w:rPr>
          <w:rFonts w:ascii="Calibri" w:hAnsi="Calibri" w:cs="Arial"/>
          <w:b/>
          <w:bCs/>
          <w:i/>
          <w:iCs/>
          <w:color w:val="767171" w:themeColor="background2" w:themeShade="80"/>
          <w:sz w:val="26"/>
          <w:szCs w:val="26"/>
        </w:rPr>
        <w:t>SEGUNDO.-</w:t>
      </w:r>
      <w:proofErr w:type="gramEnd"/>
      <w:r w:rsidRPr="00986EFF">
        <w:rPr>
          <w:rFonts w:ascii="Calibri" w:hAnsi="Calibri" w:cs="Arial"/>
          <w:b/>
          <w:bCs/>
          <w:color w:val="767171" w:themeColor="background2" w:themeShade="80"/>
          <w:sz w:val="26"/>
          <w:szCs w:val="26"/>
        </w:rPr>
        <w:t xml:space="preserve"> </w:t>
      </w:r>
      <w:r w:rsidRPr="00986EFF">
        <w:rPr>
          <w:rFonts w:ascii="Calibri" w:hAnsi="Calibri" w:cs="Arial"/>
          <w:color w:val="767171" w:themeColor="background2" w:themeShade="80"/>
          <w:sz w:val="26"/>
          <w:szCs w:val="26"/>
        </w:rPr>
        <w:t xml:space="preserve">Resultó </w:t>
      </w:r>
      <w:r w:rsidRPr="00986EFF">
        <w:rPr>
          <w:rFonts w:ascii="Calibri" w:hAnsi="Calibri" w:cs="Arial"/>
          <w:b/>
          <w:color w:val="767171" w:themeColor="background2" w:themeShade="80"/>
          <w:sz w:val="26"/>
          <w:szCs w:val="26"/>
        </w:rPr>
        <w:t>procedente</w:t>
      </w:r>
      <w:r w:rsidRPr="00986EFF">
        <w:rPr>
          <w:rFonts w:ascii="Calibri" w:hAnsi="Calibri" w:cs="Arial"/>
          <w:color w:val="767171" w:themeColor="background2" w:themeShade="80"/>
          <w:sz w:val="26"/>
          <w:szCs w:val="26"/>
        </w:rPr>
        <w:t xml:space="preserve"> el proceso administrativo promovido por la ciudadana </w:t>
      </w:r>
      <w:r>
        <w:rPr>
          <w:rFonts w:ascii="Calibri" w:hAnsi="Calibri"/>
          <w:color w:val="767171" w:themeColor="background2" w:themeShade="80"/>
          <w:sz w:val="26"/>
          <w:szCs w:val="26"/>
        </w:rPr>
        <w:t>(.....)</w:t>
      </w:r>
      <w:r w:rsidRPr="00986EFF">
        <w:rPr>
          <w:rFonts w:ascii="Calibri" w:hAnsi="Calibri"/>
          <w:color w:val="767171" w:themeColor="background2" w:themeShade="80"/>
          <w:sz w:val="26"/>
          <w:szCs w:val="26"/>
        </w:rPr>
        <w:t xml:space="preserve">. . . . . . . . . . . . . . . . . . . . . . . . . . . . . . . . . . . . . . </w:t>
      </w:r>
    </w:p>
    <w:p w:rsidR="00B7166D" w:rsidRPr="00986EFF" w:rsidRDefault="00B7166D" w:rsidP="00B7166D">
      <w:pPr>
        <w:jc w:val="both"/>
        <w:rPr>
          <w:rFonts w:ascii="Calibri" w:hAnsi="Calibri" w:cs="Arial"/>
          <w:b/>
          <w:bCs/>
          <w:i/>
          <w:iCs/>
          <w:color w:val="767171" w:themeColor="background2" w:themeShade="80"/>
          <w:sz w:val="20"/>
          <w:szCs w:val="20"/>
        </w:rPr>
      </w:pPr>
    </w:p>
    <w:p w:rsidR="00B7166D" w:rsidRPr="00986EFF" w:rsidRDefault="00B7166D" w:rsidP="00B7166D">
      <w:pPr>
        <w:pStyle w:val="Textoindependiente"/>
        <w:ind w:firstLine="708"/>
        <w:rPr>
          <w:rFonts w:ascii="Calibri" w:hAnsi="Calibri"/>
          <w:color w:val="767171" w:themeColor="background2" w:themeShade="80"/>
          <w:sz w:val="26"/>
          <w:szCs w:val="27"/>
        </w:rPr>
      </w:pPr>
      <w:r w:rsidRPr="00986EFF">
        <w:rPr>
          <w:rFonts w:ascii="Calibri" w:hAnsi="Calibri" w:cs="Arial"/>
          <w:b/>
          <w:bCs/>
          <w:i/>
          <w:iCs/>
          <w:color w:val="767171" w:themeColor="background2" w:themeShade="80"/>
          <w:sz w:val="26"/>
          <w:szCs w:val="26"/>
        </w:rPr>
        <w:t xml:space="preserve">TERCERO.- </w:t>
      </w:r>
      <w:r w:rsidRPr="00986EFF">
        <w:rPr>
          <w:rFonts w:ascii="Calibri" w:hAnsi="Calibri" w:cs="Arial"/>
          <w:color w:val="767171" w:themeColor="background2" w:themeShade="80"/>
          <w:sz w:val="26"/>
        </w:rPr>
        <w:t xml:space="preserve">Se decreta </w:t>
      </w:r>
      <w:r w:rsidRPr="00986EFF">
        <w:rPr>
          <w:rFonts w:ascii="Calibri" w:hAnsi="Calibri" w:cs="Arial"/>
          <w:bCs/>
          <w:color w:val="767171" w:themeColor="background2" w:themeShade="80"/>
          <w:sz w:val="26"/>
        </w:rPr>
        <w:t>la</w:t>
      </w:r>
      <w:r w:rsidRPr="00986EFF">
        <w:rPr>
          <w:rFonts w:ascii="Calibri" w:hAnsi="Calibri" w:cs="Arial"/>
          <w:b/>
          <w:bCs/>
          <w:color w:val="767171" w:themeColor="background2" w:themeShade="80"/>
          <w:sz w:val="26"/>
        </w:rPr>
        <w:t xml:space="preserve"> NULIDAD TOTAL </w:t>
      </w:r>
      <w:r w:rsidRPr="00986EFF">
        <w:rPr>
          <w:rFonts w:ascii="Calibri" w:hAnsi="Calibri" w:cs="Arial"/>
          <w:bCs/>
          <w:color w:val="767171" w:themeColor="background2" w:themeShade="80"/>
          <w:sz w:val="26"/>
        </w:rPr>
        <w:t xml:space="preserve">de </w:t>
      </w:r>
      <w:r w:rsidRPr="00986EFF">
        <w:rPr>
          <w:rFonts w:ascii="Calibri" w:hAnsi="Calibri" w:cs="Arial"/>
          <w:color w:val="767171" w:themeColor="background2" w:themeShade="80"/>
          <w:sz w:val="26"/>
          <w:szCs w:val="26"/>
        </w:rPr>
        <w:t xml:space="preserve">los actos impugnados consistentes en el </w:t>
      </w:r>
      <w:r w:rsidRPr="00986EFF">
        <w:rPr>
          <w:rFonts w:ascii="Calibri" w:hAnsi="Calibri" w:cs="Arial"/>
          <w:b/>
          <w:color w:val="767171" w:themeColor="background2" w:themeShade="80"/>
          <w:sz w:val="26"/>
          <w:szCs w:val="26"/>
        </w:rPr>
        <w:t>procedimiento de valuación,</w:t>
      </w:r>
      <w:r w:rsidRPr="00986EFF">
        <w:rPr>
          <w:rFonts w:ascii="Calibri" w:hAnsi="Calibri" w:cs="Arial"/>
          <w:color w:val="767171" w:themeColor="background2" w:themeShade="80"/>
          <w:sz w:val="26"/>
          <w:szCs w:val="26"/>
        </w:rPr>
        <w:t xml:space="preserve"> incluyendo el </w:t>
      </w:r>
      <w:r w:rsidRPr="00986EFF">
        <w:rPr>
          <w:rFonts w:ascii="Calibri" w:hAnsi="Calibri" w:cs="Arial"/>
          <w:b/>
          <w:color w:val="767171" w:themeColor="background2" w:themeShade="80"/>
          <w:sz w:val="26"/>
          <w:szCs w:val="26"/>
        </w:rPr>
        <w:t>avalúo</w:t>
      </w:r>
      <w:r w:rsidRPr="00986EFF">
        <w:rPr>
          <w:rFonts w:ascii="Calibri" w:hAnsi="Calibri" w:cs="Arial"/>
          <w:color w:val="767171" w:themeColor="background2" w:themeShade="80"/>
          <w:sz w:val="26"/>
          <w:szCs w:val="26"/>
        </w:rPr>
        <w:t xml:space="preserve"> folio 13025137 (uno-tres-cero-dos-cinco-uno-tres-siete), d</w:t>
      </w:r>
      <w:r w:rsidRPr="00986EFF">
        <w:rPr>
          <w:rFonts w:ascii="Calibri" w:hAnsi="Calibri"/>
          <w:bCs/>
          <w:color w:val="767171" w:themeColor="background2" w:themeShade="80"/>
          <w:sz w:val="26"/>
          <w:szCs w:val="27"/>
        </w:rPr>
        <w:t xml:space="preserve">el inmueble ubicado en </w:t>
      </w:r>
      <w:r>
        <w:rPr>
          <w:rFonts w:ascii="Calibri" w:hAnsi="Calibri"/>
          <w:bCs/>
          <w:color w:val="767171" w:themeColor="background2" w:themeShade="80"/>
          <w:sz w:val="26"/>
          <w:szCs w:val="27"/>
        </w:rPr>
        <w:t>(.....)</w:t>
      </w:r>
      <w:r w:rsidRPr="00986EFF">
        <w:rPr>
          <w:rFonts w:ascii="Calibri" w:hAnsi="Calibri"/>
          <w:bCs/>
          <w:color w:val="767171" w:themeColor="background2" w:themeShade="80"/>
          <w:sz w:val="26"/>
          <w:szCs w:val="27"/>
        </w:rPr>
        <w:t xml:space="preserve">, de esta ciudad; registrado bajo la cuenta predial número 01-A-A15406-001  (cero-uno AA uno-cinco-cuatro-cero-seis </w:t>
      </w:r>
      <w:proofErr w:type="spellStart"/>
      <w:r w:rsidRPr="00986EFF">
        <w:rPr>
          <w:rFonts w:ascii="Calibri" w:hAnsi="Calibri"/>
          <w:bCs/>
          <w:color w:val="767171" w:themeColor="background2" w:themeShade="80"/>
          <w:sz w:val="26"/>
          <w:szCs w:val="27"/>
        </w:rPr>
        <w:t>guión</w:t>
      </w:r>
      <w:proofErr w:type="spellEnd"/>
      <w:r w:rsidRPr="00986EFF">
        <w:rPr>
          <w:rFonts w:ascii="Calibri" w:hAnsi="Calibri"/>
          <w:bCs/>
          <w:color w:val="767171" w:themeColor="background2" w:themeShade="80"/>
          <w:sz w:val="26"/>
          <w:szCs w:val="27"/>
        </w:rPr>
        <w:t xml:space="preserve"> cero-cero-uno); así como el cobro del impuesto predial correspondiente al ejercicio fiscal 2017 dos mil diecisiete y las diferencias del impuesto predial, pagado en el año 2016 dos mil dieciséis, y sus recargos, contenidos en el recibo oficial número AA 6305058 (AA seis-tres-cero-cinco-cero-cinco-ocho) de fecha 18 dieciocho de enero del año 2017 dos mil diecisiete; atendiendo al principio de que lo accesorio sigue la suerte de lo principal; l</w:t>
      </w:r>
      <w:r w:rsidRPr="00986EFF">
        <w:rPr>
          <w:rFonts w:ascii="Calibri" w:hAnsi="Calibri"/>
          <w:color w:val="767171" w:themeColor="background2" w:themeShade="80"/>
          <w:sz w:val="26"/>
          <w:szCs w:val="27"/>
        </w:rPr>
        <w:t xml:space="preserve">o anterior </w:t>
      </w:r>
      <w:r w:rsidRPr="00986EFF">
        <w:rPr>
          <w:rFonts w:ascii="Calibri" w:hAnsi="Calibri" w:cs="Arial"/>
          <w:color w:val="767171" w:themeColor="background2" w:themeShade="80"/>
          <w:sz w:val="26"/>
        </w:rPr>
        <w:t xml:space="preserve">de conformidad con las consideraciones lógicas y jurídicas expuestas en el Considerando Sexto de la presente sentencia. . . . . . . . . . </w:t>
      </w:r>
      <w:r w:rsidRPr="00986EFF">
        <w:rPr>
          <w:rFonts w:ascii="Calibri" w:hAnsi="Calibri"/>
          <w:bCs/>
          <w:color w:val="767171" w:themeColor="background2" w:themeShade="80"/>
          <w:sz w:val="26"/>
          <w:szCs w:val="27"/>
        </w:rPr>
        <w:t>.</w:t>
      </w:r>
      <w:r>
        <w:rPr>
          <w:rFonts w:ascii="Calibri" w:hAnsi="Calibri"/>
          <w:bCs/>
          <w:color w:val="767171" w:themeColor="background2" w:themeShade="80"/>
          <w:sz w:val="26"/>
          <w:szCs w:val="27"/>
        </w:rPr>
        <w:t xml:space="preserve"> . . . . . . . </w:t>
      </w:r>
      <w:r w:rsidRPr="00986EFF">
        <w:rPr>
          <w:rFonts w:ascii="Calibri" w:hAnsi="Calibri"/>
          <w:bCs/>
          <w:color w:val="767171" w:themeColor="background2" w:themeShade="80"/>
          <w:sz w:val="26"/>
          <w:szCs w:val="27"/>
        </w:rPr>
        <w:t xml:space="preserve"> </w:t>
      </w:r>
    </w:p>
    <w:p w:rsidR="00B7166D" w:rsidRPr="00986EFF" w:rsidRDefault="00B7166D" w:rsidP="00B7166D">
      <w:pPr>
        <w:pStyle w:val="Textoindependiente"/>
        <w:rPr>
          <w:rFonts w:ascii="Calibri" w:hAnsi="Calibri" w:cs="Arial"/>
          <w:b/>
          <w:bCs/>
          <w:i/>
          <w:iCs/>
          <w:color w:val="767171" w:themeColor="background2" w:themeShade="80"/>
          <w:sz w:val="22"/>
          <w:szCs w:val="26"/>
        </w:rPr>
      </w:pPr>
    </w:p>
    <w:p w:rsidR="00B7166D" w:rsidRPr="00986EFF" w:rsidRDefault="00B7166D" w:rsidP="00B7166D">
      <w:pPr>
        <w:pStyle w:val="Textoindependiente"/>
        <w:rPr>
          <w:rFonts w:ascii="Calibri" w:hAnsi="Calibri" w:cs="Arial"/>
          <w:bCs/>
          <w:color w:val="767171" w:themeColor="background2" w:themeShade="80"/>
          <w:sz w:val="26"/>
        </w:rPr>
      </w:pPr>
      <w:r w:rsidRPr="00986EFF">
        <w:rPr>
          <w:rFonts w:ascii="Calibri" w:hAnsi="Calibri" w:cs="Arial"/>
          <w:b/>
          <w:bCs/>
          <w:i/>
          <w:iCs/>
          <w:color w:val="767171" w:themeColor="background2" w:themeShade="80"/>
          <w:sz w:val="22"/>
          <w:szCs w:val="26"/>
          <w:lang w:val="es-ES"/>
        </w:rPr>
        <w:tab/>
      </w:r>
      <w:r w:rsidRPr="00986EFF">
        <w:rPr>
          <w:rFonts w:ascii="Calibri" w:hAnsi="Calibri" w:cs="Arial"/>
          <w:b/>
          <w:bCs/>
          <w:iCs/>
          <w:color w:val="767171" w:themeColor="background2" w:themeShade="80"/>
          <w:sz w:val="26"/>
          <w:szCs w:val="26"/>
          <w:lang w:val="es-ES"/>
        </w:rPr>
        <w:t>En consecuencia</w:t>
      </w:r>
      <w:r w:rsidRPr="00986EFF">
        <w:rPr>
          <w:rFonts w:ascii="Calibri" w:hAnsi="Calibri" w:cs="Arial"/>
          <w:bCs/>
          <w:iCs/>
          <w:color w:val="767171" w:themeColor="background2" w:themeShade="80"/>
          <w:sz w:val="26"/>
          <w:szCs w:val="26"/>
          <w:lang w:val="es-ES"/>
        </w:rPr>
        <w:t xml:space="preserve">, </w:t>
      </w:r>
      <w:r w:rsidRPr="00986EFF">
        <w:rPr>
          <w:rFonts w:ascii="Calibri" w:hAnsi="Calibri"/>
          <w:color w:val="767171" w:themeColor="background2" w:themeShade="80"/>
          <w:sz w:val="26"/>
        </w:rPr>
        <w:t xml:space="preserve">la autoridad demandada, para la determinación de un crédito fiscal y requerimiento del mismo, </w:t>
      </w:r>
      <w:r w:rsidRPr="00986EFF">
        <w:rPr>
          <w:rFonts w:ascii="Calibri" w:hAnsi="Calibri"/>
          <w:b/>
          <w:color w:val="767171" w:themeColor="background2" w:themeShade="80"/>
          <w:sz w:val="26"/>
        </w:rPr>
        <w:t>deberá tomar</w:t>
      </w:r>
      <w:r w:rsidRPr="00986EFF">
        <w:rPr>
          <w:rFonts w:ascii="Calibri" w:hAnsi="Calibri"/>
          <w:color w:val="767171" w:themeColor="background2" w:themeShade="80"/>
          <w:sz w:val="26"/>
        </w:rPr>
        <w:t xml:space="preserve"> como valor del inmueble, -en tanto no se practique un avalúo siguiendo lo previsto en la Ley de Hacienda para los Municipios del Estado de Guanajuato-, el valor fiscal que sirvió para el pago del impuesto en el año 2016 dos mil dieciséis, que no es otro que el de $1’282,516.14 (Un millón doscientos ochenta y dos mil quinientos dieciséis pesos 14/100 Moneda Nacional); por lo que deberán hacer los ajustes en sus archivos, expedientes y asientos, que resulten necesarios. . . . . . . . .</w:t>
      </w:r>
      <w:r>
        <w:rPr>
          <w:rFonts w:ascii="Calibri" w:hAnsi="Calibri"/>
          <w:color w:val="767171" w:themeColor="background2" w:themeShade="80"/>
          <w:sz w:val="26"/>
        </w:rPr>
        <w:t xml:space="preserve"> . . . . . . . . . . . . . . . . . . . .</w:t>
      </w:r>
    </w:p>
    <w:p w:rsidR="00B7166D" w:rsidRPr="00910644" w:rsidRDefault="00B7166D" w:rsidP="00B7166D">
      <w:pPr>
        <w:pStyle w:val="Textoindependiente"/>
        <w:rPr>
          <w:rFonts w:ascii="Calibri" w:hAnsi="Calibri"/>
          <w:color w:val="767171" w:themeColor="background2" w:themeShade="80"/>
          <w:sz w:val="20"/>
          <w:szCs w:val="20"/>
        </w:rPr>
      </w:pPr>
    </w:p>
    <w:p w:rsidR="00B7166D" w:rsidRPr="00910644" w:rsidRDefault="00B7166D" w:rsidP="00B7166D">
      <w:pPr>
        <w:pStyle w:val="Textoindependiente"/>
        <w:rPr>
          <w:rFonts w:ascii="Calibri" w:hAnsi="Calibri"/>
          <w:b/>
          <w:i/>
          <w:color w:val="767171" w:themeColor="background2" w:themeShade="80"/>
          <w:sz w:val="26"/>
          <w:szCs w:val="26"/>
        </w:rPr>
      </w:pPr>
      <w:r w:rsidRPr="00910644">
        <w:rPr>
          <w:rFonts w:ascii="Calibri" w:hAnsi="Calibri"/>
          <w:b/>
          <w:i/>
          <w:color w:val="767171" w:themeColor="background2" w:themeShade="80"/>
          <w:sz w:val="26"/>
          <w:szCs w:val="26"/>
        </w:rPr>
        <w:tab/>
        <w:t xml:space="preserve">CUARTO.- </w:t>
      </w:r>
      <w:r w:rsidRPr="00910644">
        <w:rPr>
          <w:rFonts w:ascii="Calibri" w:hAnsi="Calibri"/>
          <w:color w:val="767171" w:themeColor="background2" w:themeShade="80"/>
          <w:sz w:val="26"/>
          <w:szCs w:val="26"/>
        </w:rPr>
        <w:t xml:space="preserve">Resulta procedente condenar a la autoridad demandada a que  devuelva a la ciudadana </w:t>
      </w:r>
      <w:r>
        <w:rPr>
          <w:rFonts w:ascii="Calibri" w:hAnsi="Calibri"/>
          <w:color w:val="767171" w:themeColor="background2" w:themeShade="80"/>
          <w:sz w:val="26"/>
          <w:szCs w:val="26"/>
        </w:rPr>
        <w:t>(.....)</w:t>
      </w:r>
      <w:r w:rsidRPr="00910644">
        <w:rPr>
          <w:rFonts w:ascii="Calibri" w:hAnsi="Calibri"/>
          <w:color w:val="767171" w:themeColor="background2" w:themeShade="80"/>
          <w:sz w:val="26"/>
          <w:szCs w:val="26"/>
        </w:rPr>
        <w:t xml:space="preserve">, el monto pagado en exceso, por concepto de impuesto predial del año 2017 dos mil diecisiete; para lo cual deberá hacerse el cálculo y la determinación del crédito fiscal debidamente fundado y motivado, tomando en cuenta el valor fiscal del inmueble que sirvió de base para el pago del impuesto predial para el ejercicio fiscal del año 2016 dos mil dieciséis (indicado en el resultando inmediato anterior) y realizando la compensación respectiva; así como la devolución de los impuestos omitidos del año 2016 dos mil dieciséis y recargos de impuestos omitidos también de ese año; valor fiscal e importes contenidos en el recibo oficial de pago número </w:t>
      </w:r>
      <w:r w:rsidRPr="00910644">
        <w:rPr>
          <w:rFonts w:ascii="Calibri" w:hAnsi="Calibri"/>
          <w:bCs/>
          <w:color w:val="767171" w:themeColor="background2" w:themeShade="80"/>
          <w:sz w:val="26"/>
          <w:szCs w:val="27"/>
        </w:rPr>
        <w:t>AA 6305058 (AA seis-tres-cero-cinco-cero-cinco-ocho) de fecha 18 dieciocho de enero del año próximo pasado</w:t>
      </w:r>
      <w:r w:rsidRPr="00910644">
        <w:rPr>
          <w:rFonts w:ascii="Calibri" w:hAnsi="Calibri"/>
          <w:b/>
          <w:i/>
          <w:color w:val="767171" w:themeColor="background2" w:themeShade="80"/>
          <w:sz w:val="26"/>
          <w:szCs w:val="26"/>
        </w:rPr>
        <w:t>. . . .</w:t>
      </w:r>
      <w:r>
        <w:rPr>
          <w:rFonts w:ascii="Calibri" w:hAnsi="Calibri"/>
          <w:b/>
          <w:i/>
          <w:color w:val="767171" w:themeColor="background2" w:themeShade="80"/>
          <w:sz w:val="26"/>
          <w:szCs w:val="26"/>
        </w:rPr>
        <w:t xml:space="preserve"> . . . . . .</w:t>
      </w:r>
      <w:r w:rsidRPr="00B811A7">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 . . . . . . . . . . . . . . . . . . . . . . . . . . . . . . . . . . . . . . . . . . . . . . . . . . .</w:t>
      </w:r>
    </w:p>
    <w:p w:rsidR="00B7166D" w:rsidRPr="00B811A7" w:rsidRDefault="00B7166D" w:rsidP="00B7166D">
      <w:pPr>
        <w:pStyle w:val="Textoindependiente"/>
        <w:rPr>
          <w:rFonts w:ascii="Calibri" w:hAnsi="Calibri"/>
          <w:b/>
          <w:i/>
          <w:color w:val="767171" w:themeColor="background2" w:themeShade="80"/>
          <w:sz w:val="26"/>
          <w:szCs w:val="26"/>
        </w:rPr>
      </w:pPr>
    </w:p>
    <w:p w:rsidR="00B7166D" w:rsidRPr="00B811A7" w:rsidRDefault="00B7166D" w:rsidP="00B7166D">
      <w:pPr>
        <w:pStyle w:val="Textoindependiente"/>
        <w:ind w:firstLine="708"/>
        <w:rPr>
          <w:rFonts w:asciiTheme="minorHAnsi" w:hAnsiTheme="minorHAnsi"/>
          <w:color w:val="767171" w:themeColor="background2" w:themeShade="80"/>
          <w:sz w:val="26"/>
        </w:rPr>
      </w:pPr>
      <w:r w:rsidRPr="00B811A7">
        <w:rPr>
          <w:rFonts w:asciiTheme="minorHAnsi" w:hAnsiTheme="minorHAnsi"/>
          <w:color w:val="767171" w:themeColor="background2" w:themeShade="80"/>
          <w:sz w:val="26"/>
        </w:rPr>
        <w:t xml:space="preserve">Lo que se deberá realizar dentro de los </w:t>
      </w:r>
      <w:r w:rsidRPr="00B811A7">
        <w:rPr>
          <w:rFonts w:asciiTheme="minorHAnsi" w:hAnsiTheme="minorHAnsi"/>
          <w:b/>
          <w:color w:val="767171" w:themeColor="background2" w:themeShade="80"/>
          <w:sz w:val="26"/>
        </w:rPr>
        <w:t>15 quince</w:t>
      </w:r>
      <w:r w:rsidRPr="00B811A7">
        <w:rPr>
          <w:rFonts w:asciiTheme="minorHAnsi" w:hAnsiTheme="minorHAnsi"/>
          <w:color w:val="767171" w:themeColor="background2" w:themeShade="80"/>
          <w:sz w:val="26"/>
        </w:rPr>
        <w:t xml:space="preserve"> días siguientes a que cause ejecutoria la presente resolución, debiendo informar a este Juzgado, el cumplimiento que se dé a este resolutivo, acompañando las constancias que así lo acrediten. . . . . . . . . . . . . . . . . . . . . . . . . . . . . . . . . . . . . . . . . . . . . . . . . . . . . . . . . </w:t>
      </w:r>
      <w:proofErr w:type="gramStart"/>
      <w:r w:rsidRPr="00B811A7">
        <w:rPr>
          <w:rFonts w:asciiTheme="minorHAnsi" w:hAnsiTheme="minorHAnsi"/>
          <w:color w:val="767171" w:themeColor="background2" w:themeShade="80"/>
          <w:sz w:val="26"/>
        </w:rPr>
        <w:t xml:space="preserve">. . </w:t>
      </w:r>
      <w:r>
        <w:rPr>
          <w:rFonts w:asciiTheme="minorHAnsi" w:hAnsiTheme="minorHAnsi"/>
          <w:color w:val="767171" w:themeColor="background2" w:themeShade="80"/>
          <w:sz w:val="26"/>
        </w:rPr>
        <w:t>. .</w:t>
      </w:r>
      <w:proofErr w:type="gramEnd"/>
      <w:r>
        <w:rPr>
          <w:rFonts w:asciiTheme="minorHAnsi" w:hAnsiTheme="minorHAnsi"/>
          <w:color w:val="767171" w:themeColor="background2" w:themeShade="80"/>
          <w:sz w:val="26"/>
        </w:rPr>
        <w:t xml:space="preserve"> </w:t>
      </w:r>
    </w:p>
    <w:p w:rsidR="00B7166D" w:rsidRPr="00B811A7" w:rsidRDefault="00B7166D" w:rsidP="00B7166D">
      <w:pPr>
        <w:pStyle w:val="Textoindependiente"/>
        <w:rPr>
          <w:rFonts w:ascii="Calibri" w:hAnsi="Calibri"/>
          <w:b/>
          <w:i/>
          <w:color w:val="767171" w:themeColor="background2" w:themeShade="80"/>
          <w:sz w:val="26"/>
          <w:szCs w:val="26"/>
        </w:rPr>
      </w:pPr>
    </w:p>
    <w:p w:rsidR="00B7166D" w:rsidRPr="00B811A7" w:rsidRDefault="00B7166D" w:rsidP="00B7166D">
      <w:pPr>
        <w:pStyle w:val="Textoindependiente"/>
        <w:ind w:firstLine="708"/>
        <w:rPr>
          <w:rFonts w:ascii="Calibri" w:hAnsi="Calibri" w:cs="Arial"/>
          <w:color w:val="767171" w:themeColor="background2" w:themeShade="80"/>
          <w:sz w:val="26"/>
          <w:szCs w:val="26"/>
        </w:rPr>
      </w:pPr>
      <w:r w:rsidRPr="00B811A7">
        <w:rPr>
          <w:rFonts w:ascii="Calibri" w:hAnsi="Calibri" w:cs="Arial"/>
          <w:color w:val="767171" w:themeColor="background2" w:themeShade="80"/>
          <w:sz w:val="26"/>
          <w:szCs w:val="26"/>
        </w:rPr>
        <w:t xml:space="preserve">Notifíquese a las autoridades demandadas por oficio y a la parte actora personalmente. . . . . . . . . . . . . . . . . . . . . . . . . . . . . . . . . . . . . . . . . . . . . . . . . . . </w:t>
      </w:r>
      <w:proofErr w:type="gramStart"/>
      <w:r w:rsidRPr="00B811A7">
        <w:rPr>
          <w:rFonts w:ascii="Calibri" w:hAnsi="Calibri" w:cs="Arial"/>
          <w:color w:val="767171" w:themeColor="background2" w:themeShade="80"/>
          <w:sz w:val="26"/>
          <w:szCs w:val="26"/>
        </w:rPr>
        <w:t>. . . .</w:t>
      </w:r>
      <w:proofErr w:type="gramEnd"/>
      <w:r w:rsidRPr="00B811A7">
        <w:rPr>
          <w:rFonts w:ascii="Calibri" w:hAnsi="Calibri" w:cs="Arial"/>
          <w:color w:val="767171" w:themeColor="background2" w:themeShade="80"/>
          <w:sz w:val="26"/>
          <w:szCs w:val="26"/>
        </w:rPr>
        <w:t xml:space="preserve"> . </w:t>
      </w:r>
    </w:p>
    <w:p w:rsidR="00B7166D" w:rsidRPr="00B811A7" w:rsidRDefault="00B7166D" w:rsidP="00B7166D">
      <w:pPr>
        <w:pStyle w:val="Textoindependiente"/>
        <w:rPr>
          <w:rFonts w:ascii="Calibri" w:hAnsi="Calibri" w:cs="Arial"/>
          <w:color w:val="767171" w:themeColor="background2" w:themeShade="80"/>
          <w:sz w:val="26"/>
          <w:szCs w:val="26"/>
        </w:rPr>
      </w:pPr>
    </w:p>
    <w:p w:rsidR="00B7166D" w:rsidRPr="00B811A7" w:rsidRDefault="00B7166D" w:rsidP="00B7166D">
      <w:pPr>
        <w:pStyle w:val="Textoindependiente"/>
        <w:rPr>
          <w:rFonts w:ascii="Calibri" w:hAnsi="Calibri" w:cs="Arial"/>
          <w:b/>
          <w:bCs/>
          <w:color w:val="767171" w:themeColor="background2" w:themeShade="80"/>
          <w:sz w:val="26"/>
          <w:szCs w:val="26"/>
        </w:rPr>
      </w:pPr>
      <w:r w:rsidRPr="00B811A7">
        <w:rPr>
          <w:rFonts w:ascii="Calibri" w:hAnsi="Calibri" w:cs="Arial"/>
          <w:color w:val="767171" w:themeColor="background2" w:themeShade="80"/>
          <w:sz w:val="26"/>
          <w:szCs w:val="26"/>
        </w:rPr>
        <w:tab/>
        <w:t>En su oportunidad, archívese este expediente, como asunto totalmente concluido y dese de baja en el Libro de Registros que se lleva para tal efecto</w:t>
      </w:r>
      <w:proofErr w:type="gramStart"/>
      <w:r w:rsidRPr="00B811A7">
        <w:rPr>
          <w:rFonts w:ascii="Calibri" w:hAnsi="Calibri" w:cs="Arial"/>
          <w:color w:val="767171" w:themeColor="background2" w:themeShade="80"/>
          <w:sz w:val="26"/>
          <w:szCs w:val="26"/>
        </w:rPr>
        <w:t>. . . .</w:t>
      </w:r>
      <w:proofErr w:type="gramEnd"/>
      <w:r w:rsidRPr="00B811A7">
        <w:rPr>
          <w:rFonts w:ascii="Calibri" w:hAnsi="Calibri" w:cs="Arial"/>
          <w:color w:val="767171" w:themeColor="background2" w:themeShade="80"/>
          <w:sz w:val="26"/>
          <w:szCs w:val="26"/>
        </w:rPr>
        <w:t xml:space="preserve"> </w:t>
      </w:r>
    </w:p>
    <w:p w:rsidR="00B7166D" w:rsidRPr="00B811A7" w:rsidRDefault="00B7166D" w:rsidP="00B7166D">
      <w:pPr>
        <w:pStyle w:val="Textoindependiente"/>
        <w:rPr>
          <w:rFonts w:ascii="Calibri" w:hAnsi="Calibri" w:cs="Arial"/>
          <w:color w:val="767171" w:themeColor="background2" w:themeShade="80"/>
          <w:sz w:val="20"/>
          <w:szCs w:val="20"/>
        </w:rPr>
      </w:pPr>
    </w:p>
    <w:p w:rsidR="00B7166D" w:rsidRPr="00B811A7" w:rsidRDefault="00B7166D" w:rsidP="00B7166D">
      <w:pPr>
        <w:pStyle w:val="Textoindependiente"/>
        <w:ind w:firstLine="708"/>
        <w:rPr>
          <w:rFonts w:ascii="Calibri" w:hAnsi="Calibri"/>
          <w:color w:val="767171" w:themeColor="background2" w:themeShade="80"/>
          <w:sz w:val="26"/>
        </w:rPr>
      </w:pPr>
      <w:r w:rsidRPr="00B811A7">
        <w:rPr>
          <w:rFonts w:ascii="Calibri" w:hAnsi="Calibri"/>
          <w:color w:val="767171" w:themeColor="background2" w:themeShade="80"/>
          <w:sz w:val="26"/>
        </w:rPr>
        <w:t xml:space="preserve">Así lo resolvió y firma el Licenciado </w:t>
      </w:r>
      <w:r w:rsidRPr="00B811A7">
        <w:rPr>
          <w:rFonts w:ascii="Calibri" w:hAnsi="Calibri"/>
          <w:b/>
          <w:bCs/>
          <w:color w:val="767171" w:themeColor="background2" w:themeShade="80"/>
          <w:sz w:val="26"/>
        </w:rPr>
        <w:t>Ernesto Alejandro Mora Álvarez</w:t>
      </w:r>
      <w:r w:rsidRPr="00B811A7">
        <w:rPr>
          <w:rFonts w:ascii="Calibri" w:hAnsi="Calibri"/>
          <w:color w:val="767171" w:themeColor="background2" w:themeShade="80"/>
          <w:sz w:val="26"/>
        </w:rPr>
        <w:t xml:space="preserve">, Juez Segundo Administrativo Municipal de León, Guanajuato, quien actúa asistido en forma legal con Secretaria de Estudio y Cuenta, Licenciada </w:t>
      </w:r>
      <w:r w:rsidRPr="00B811A7">
        <w:rPr>
          <w:rFonts w:ascii="Calibri" w:hAnsi="Calibri"/>
          <w:b/>
          <w:bCs/>
          <w:color w:val="767171" w:themeColor="background2" w:themeShade="80"/>
          <w:sz w:val="26"/>
        </w:rPr>
        <w:t>María del Rocío Villanueva Sánchez</w:t>
      </w:r>
      <w:r w:rsidRPr="00B811A7">
        <w:rPr>
          <w:rFonts w:ascii="Calibri" w:hAnsi="Calibri"/>
          <w:color w:val="767171" w:themeColor="background2" w:themeShade="80"/>
          <w:sz w:val="26"/>
        </w:rPr>
        <w:t xml:space="preserve">, quien da fe. . . . . . . . . . . . . . . . . . . . . . . . . . . . . . . . . . . . . . . . . . </w:t>
      </w:r>
    </w:p>
    <w:p w:rsidR="00E033C3" w:rsidRDefault="00B7166D"/>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Transparent">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6D"/>
    <w:rsid w:val="001B369F"/>
    <w:rsid w:val="00B7166D"/>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3858F-7F4F-4042-9251-4F7CC011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66D"/>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B7166D"/>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7166D"/>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B7166D"/>
    <w:pPr>
      <w:jc w:val="both"/>
    </w:pPr>
    <w:rPr>
      <w:lang w:val="es-MX"/>
    </w:rPr>
  </w:style>
  <w:style w:type="character" w:customStyle="1" w:styleId="TextoindependienteCar">
    <w:name w:val="Texto independiente Car"/>
    <w:basedOn w:val="Fuentedeprrafopredeter"/>
    <w:link w:val="Textoindependiente"/>
    <w:rsid w:val="00B7166D"/>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semiHidden/>
    <w:unhideWhenUsed/>
    <w:rsid w:val="00B7166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B7166D"/>
    <w:rPr>
      <w:rFonts w:ascii="Times New Roman" w:eastAsia="Calibri" w:hAnsi="Times New Roman" w:cs="Times New Roman"/>
      <w:sz w:val="16"/>
      <w:szCs w:val="16"/>
      <w:lang w:eastAsia="es-ES"/>
    </w:rPr>
  </w:style>
  <w:style w:type="paragraph" w:styleId="Sangra2detindependiente">
    <w:name w:val="Body Text Indent 2"/>
    <w:basedOn w:val="Normal"/>
    <w:link w:val="Sangra2detindependienteCar"/>
    <w:uiPriority w:val="99"/>
    <w:semiHidden/>
    <w:unhideWhenUsed/>
    <w:rsid w:val="00B7166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7166D"/>
    <w:rPr>
      <w:rFonts w:ascii="Times New Roman" w:eastAsia="Calibri" w:hAnsi="Times New Roman" w:cs="Times New Roman"/>
      <w:sz w:val="24"/>
      <w:szCs w:val="24"/>
      <w:lang w:eastAsia="es-ES"/>
    </w:rPr>
  </w:style>
  <w:style w:type="paragraph" w:customStyle="1" w:styleId="Normal0">
    <w:name w:val="[Normal]"/>
    <w:rsid w:val="00B7166D"/>
    <w:pPr>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5122</Words>
  <Characters>28177</Characters>
  <Application>Microsoft Office Word</Application>
  <DocSecurity>0</DocSecurity>
  <Lines>234</Lines>
  <Paragraphs>66</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V I S T O S para dictar sentencia definitiva, los autos del proceso administrati</vt:lpstr>
    </vt:vector>
  </TitlesOfParts>
  <Company/>
  <LinksUpToDate>false</LinksUpToDate>
  <CharactersWithSpaces>33233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2019-01-29T19:45:00Z</dcterms:created>
  <dcterms:modified xsi:type="dcterms:W3CDTF">2019-01-29T19:45:00Z</dcterms:modified>
</cp:coreProperties>
</file>